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pPr>
      <w:bookmarkStart w:colFirst="0" w:colLast="0" w:name="_heading=h.nhvissgwiib5" w:id="0"/>
      <w:bookmarkEnd w:id="0"/>
      <w:r w:rsidDel="00000000" w:rsidR="00000000" w:rsidRPr="00000000">
        <w:rPr>
          <w:rtl w:val="0"/>
        </w:rPr>
        <w:t xml:space="preserve">Evaluating </w:t>
      </w:r>
      <w:r w:rsidDel="00000000" w:rsidR="00000000" w:rsidRPr="00000000">
        <w:rPr>
          <w:rtl w:val="0"/>
        </w:rPr>
        <w:t xml:space="preserve">Blockify</w:t>
      </w:r>
      <w:r w:rsidDel="00000000" w:rsidR="00000000" w:rsidRPr="00000000">
        <w:rPr>
          <w:sz w:val="28"/>
          <w:szCs w:val="28"/>
          <w:rtl w:val="0"/>
        </w:rPr>
        <w:t xml:space="preserve">®</w:t>
      </w:r>
      <w:r w:rsidDel="00000000" w:rsidR="00000000" w:rsidRPr="00000000">
        <w:rPr>
          <w:rtl w:val="0"/>
        </w:rPr>
        <w:t xml:space="preserve"> Effectiveness for High Accuracy Industry Use Cases such as Healthcare</w:t>
      </w:r>
    </w:p>
    <w:p w:rsidR="00000000" w:rsidDel="00000000" w:rsidP="00000000" w:rsidRDefault="00000000" w:rsidRPr="00000000" w14:paraId="00000002">
      <w:pPr>
        <w:pStyle w:val="Heading2"/>
        <w:rPr/>
      </w:pPr>
      <w:bookmarkStart w:colFirst="0" w:colLast="0" w:name="_heading=h.vz21ssy44th3" w:id="1"/>
      <w:bookmarkEnd w:id="1"/>
      <w:r w:rsidDel="00000000" w:rsidR="00000000" w:rsidRPr="00000000">
        <w:rPr>
          <w:rtl w:val="0"/>
        </w:rPr>
        <w:t xml:space="preserve">Executive Summary</w:t>
      </w:r>
    </w:p>
    <w:p w:rsidR="00000000" w:rsidDel="00000000" w:rsidP="00000000" w:rsidRDefault="00000000" w:rsidRPr="00000000" w14:paraId="00000003">
      <w:pPr>
        <w:rPr/>
      </w:pPr>
      <w:r w:rsidDel="00000000" w:rsidR="00000000" w:rsidRPr="00000000">
        <w:rPr>
          <w:rtl w:val="0"/>
        </w:rPr>
        <w:t xml:space="preserve">As large language models (LLMs) become integral to cross-industry use cases, for example, healthcare, where accurate and reliable information can directly impact patient outcomes, the need for rigorous validation of their outputs is paramount.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study presents the first direct, quantitative comparison of two Retrieval-Augmented Generation (RAG) methods for medical question-answering: the established “Chunking Method” versus a next-generation, context-aware “Blockify Method.”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Leveraging real clinical questions from the Oxford Medical Diagnostic Handbook and advanced, unbiased scoring engines, we assessed the most critical outcomes—fidelity to source material and factual accuracy.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While this research is anchored in healthcare, its insights are broadly applicable across all industry verticals where the quality and precision of LLM responses are essential.</w:t>
      </w:r>
    </w:p>
    <w:p w:rsidR="00000000" w:rsidDel="00000000" w:rsidP="00000000" w:rsidRDefault="00000000" w:rsidRPr="00000000" w14:paraId="0000000A">
      <w:pPr>
        <w:pStyle w:val="Heading3"/>
        <w:rPr/>
      </w:pPr>
      <w:bookmarkStart w:colFirst="0" w:colLast="0" w:name="_heading=h.67xzruiktr2" w:id="2"/>
      <w:bookmarkEnd w:id="2"/>
      <w:r w:rsidDel="00000000" w:rsidR="00000000" w:rsidRPr="00000000">
        <w:rPr>
          <w:rtl w:val="0"/>
        </w:rPr>
        <w:t xml:space="preserve">Key Results:</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Blockify Raised Clinical Accuracy Standards: Across nine high-stakes diagnostic and management queries, Blockify improved combined accuracy and source fidelity by an average of 261.11% compared to chunking. On complex safety-critical topics like Diabetic Ketoacidosis (DKA) management and red flag symptom recognition, improvements soared up to 650%.</w:t>
      </w:r>
      <w:r w:rsidDel="00000000" w:rsidR="00000000" w:rsidRPr="00000000">
        <w:rPr>
          <w:rtl w:val="0"/>
        </w:rPr>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Safer, More Guideline-Concordant Answers: Blockify consistently avoided critical errors found in legacy chunking—such as dangerous misrecommendations for resuscitation fluids—offering responses more tightly aligned with clinical protocols.</w:t>
      </w:r>
      <w:r w:rsidDel="00000000" w:rsidR="00000000" w:rsidRPr="00000000">
        <w:rPr>
          <w:rtl w:val="0"/>
        </w:rPr>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Consistency and Trust: In every scenario, Blockify matched or outperformed chunking, eliminating the risk of misleading, incomplete, or fragmented guidance inherent to naïve chunking strategies.</w:t>
      </w:r>
      <w:r w:rsidDel="00000000" w:rsidR="00000000" w:rsidRPr="00000000">
        <w:rPr>
          <w:rtl w:val="0"/>
        </w:rPr>
      </w:r>
    </w:p>
    <w:p w:rsidR="00000000" w:rsidDel="00000000" w:rsidP="00000000" w:rsidRDefault="00000000" w:rsidRPr="00000000" w14:paraId="0000000E">
      <w:pPr>
        <w:pStyle w:val="Heading3"/>
        <w:rPr/>
      </w:pPr>
      <w:bookmarkStart w:colFirst="0" w:colLast="0" w:name="_heading=h.58gy8gi9tzao" w:id="3"/>
      <w:bookmarkEnd w:id="3"/>
      <w:r w:rsidDel="00000000" w:rsidR="00000000" w:rsidRPr="00000000">
        <w:rPr>
          <w:rtl w:val="0"/>
        </w:rPr>
        <w:t xml:space="preserve">Strategic Implications:</w:t>
      </w:r>
    </w:p>
    <w:p w:rsidR="00000000" w:rsidDel="00000000" w:rsidP="00000000" w:rsidRDefault="00000000" w:rsidRPr="00000000" w14:paraId="0000000F">
      <w:pPr>
        <w:numPr>
          <w:ilvl w:val="0"/>
          <w:numId w:val="12"/>
        </w:numPr>
        <w:ind w:left="720" w:hanging="360"/>
        <w:rPr>
          <w:u w:val="none"/>
        </w:rPr>
      </w:pPr>
      <w:r w:rsidDel="00000000" w:rsidR="00000000" w:rsidRPr="00000000">
        <w:rPr>
          <w:rtl w:val="0"/>
        </w:rPr>
        <w:t xml:space="preserve">Blockify is Essential for Clinical-Grade AI: The results clearly establish that sophisticated, Blockify ingestion with context-preserving segmentation is not optional but mandatory for RAG-powered LLMs in medicine. Blockify’s ability to maintain semantic integrity dramatically reduces the risk of introducing clinical hazards via “AI hallucinations” or factual drift.</w:t>
      </w:r>
      <w:r w:rsidDel="00000000" w:rsidR="00000000" w:rsidRPr="00000000">
        <w:rPr>
          <w:rtl w:val="0"/>
        </w:rPr>
      </w:r>
    </w:p>
    <w:p w:rsidR="00000000" w:rsidDel="00000000" w:rsidP="00000000" w:rsidRDefault="00000000" w:rsidRPr="00000000" w14:paraId="00000010">
      <w:pPr>
        <w:numPr>
          <w:ilvl w:val="0"/>
          <w:numId w:val="12"/>
        </w:numPr>
        <w:ind w:left="720" w:hanging="360"/>
        <w:rPr>
          <w:u w:val="none"/>
        </w:rPr>
      </w:pPr>
      <w:r w:rsidDel="00000000" w:rsidR="00000000" w:rsidRPr="00000000">
        <w:rPr>
          <w:rtl w:val="0"/>
        </w:rPr>
        <w:t xml:space="preserve">Prioritize Source Fidelity in AI Deployment: Even minor inaccuracies in automated medical guidance can harm patients and erode trust in healthcare AI. Blockify’s architecture provides a foundation for transparent, auditable, and guideline-compliant knowledge delivery—essential for regulatory acceptance and safe integration at the bedside.</w:t>
      </w:r>
      <w:r w:rsidDel="00000000" w:rsidR="00000000" w:rsidRPr="00000000">
        <w:rPr>
          <w:rtl w:val="0"/>
        </w:rPr>
      </w:r>
    </w:p>
    <w:p w:rsidR="00000000" w:rsidDel="00000000" w:rsidP="00000000" w:rsidRDefault="00000000" w:rsidRPr="00000000" w14:paraId="00000011">
      <w:pPr>
        <w:numPr>
          <w:ilvl w:val="0"/>
          <w:numId w:val="12"/>
        </w:numPr>
        <w:ind w:left="720" w:hanging="360"/>
        <w:rPr/>
      </w:pPr>
      <w:r w:rsidDel="00000000" w:rsidR="00000000" w:rsidRPr="00000000">
        <w:rPr>
          <w:rtl w:val="0"/>
        </w:rPr>
        <w:t xml:space="preserve">Future AI Healthcare Systems: For developers, system architects, and healthcare leaders, the evidence is unambiguous: adopting advanced methods like Blockify is a critical lever to unlock practical, safe, and trustworthy clinical AI that supports real-world decision making.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Blockify represents a transformative step toward clinical safety and transparency in AI-driven healthcare. Organizations deploying medical LLMs—whether for decision support, research, or education—should make advanced, context-aware RAG strategies the new industry standard. This approach ensures the highest benchmark for accuracy, governance, and ultimately, patient well-being.</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rPr/>
      </w:pPr>
      <w:bookmarkStart w:colFirst="0" w:colLast="0" w:name="_heading=h.blo86b4xtzkl" w:id="4"/>
      <w:bookmarkEnd w:id="4"/>
      <w:r w:rsidDel="00000000" w:rsidR="00000000" w:rsidRPr="00000000">
        <w:rPr>
          <w:rtl w:val="0"/>
        </w:rPr>
        <w:t xml:space="preserve">Why Accuracy with LLMs Matter</w:t>
      </w:r>
    </w:p>
    <w:p w:rsidR="00000000" w:rsidDel="00000000" w:rsidP="00000000" w:rsidRDefault="00000000" w:rsidRPr="00000000" w14:paraId="00000016">
      <w:pPr>
        <w:rPr/>
      </w:pPr>
      <w:r w:rsidDel="00000000" w:rsidR="00000000" w:rsidRPr="00000000">
        <w:rPr>
          <w:rtl w:val="0"/>
        </w:rPr>
        <w:t xml:space="preserve">In medical applications and other industries where accuracy is essential, generative models enable rapid access to best practices and targeted clinical guidance—but only if their answers are reliable and faithfully reflect authoritative source knowledge. Accuracy failures in this context can result in misinformed clinical decisions, patient risk, and erosion of trust in AI systems. Errors in source fidelity—where an LLM "hallucinates" or drifts from retrieved evidence—are especially dangerous in medicine, where even subtle factual misalignment may lead to patient harm.</w:t>
      </w:r>
    </w:p>
    <w:p w:rsidR="00000000" w:rsidDel="00000000" w:rsidP="00000000" w:rsidRDefault="00000000" w:rsidRPr="00000000" w14:paraId="00000017">
      <w:pPr>
        <w:pStyle w:val="Heading3"/>
        <w:rPr>
          <w:vertAlign w:val="baseline"/>
        </w:rPr>
      </w:pPr>
      <w:bookmarkStart w:colFirst="0" w:colLast="0" w:name="_heading=h.wezppbx0hr2u" w:id="5"/>
      <w:bookmarkEnd w:id="5"/>
      <w:r w:rsidDel="00000000" w:rsidR="00000000" w:rsidRPr="00000000">
        <w:rPr>
          <w:rtl w:val="0"/>
        </w:rPr>
        <w:t xml:space="preserve">H</w:t>
      </w:r>
      <w:r w:rsidDel="00000000" w:rsidR="00000000" w:rsidRPr="00000000">
        <w:rPr>
          <w:vertAlign w:val="baseline"/>
          <w:rtl w:val="0"/>
        </w:rPr>
        <w:t xml:space="preserve">igh-accuracy, RAG-powered LLMs have the potential to:</w:t>
      </w:r>
    </w:p>
    <w:p w:rsidR="00000000" w:rsidDel="00000000" w:rsidP="00000000" w:rsidRDefault="00000000" w:rsidRPr="00000000" w14:paraId="0000001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Justify every statement with a real source, increasing transparency and traceability.</w:t>
      </w:r>
    </w:p>
    <w:p w:rsidR="00000000" w:rsidDel="00000000" w:rsidP="00000000" w:rsidRDefault="00000000" w:rsidRPr="00000000" w14:paraId="0000001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Minimize hallucinations by strictly referencing validated medical guidelines.</w:t>
      </w:r>
    </w:p>
    <w:p w:rsidR="00000000" w:rsidDel="00000000" w:rsidP="00000000" w:rsidRDefault="00000000" w:rsidRPr="00000000" w14:paraId="0000001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Improve decisional confidence for clinicians in the face of ambiguous or time-sensitive cases.</w:t>
      </w:r>
    </w:p>
    <w:p w:rsidR="00000000" w:rsidDel="00000000" w:rsidP="00000000" w:rsidRDefault="00000000" w:rsidRPr="00000000" w14:paraId="0000001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Enhance research by quickly synthesizing information from a vast array of reliable medical literature.</w:t>
      </w:r>
    </w:p>
    <w:p w:rsidR="00000000" w:rsidDel="00000000" w:rsidP="00000000" w:rsidRDefault="00000000" w:rsidRPr="00000000" w14:paraId="0000001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Streamline training for medical professionals by providing access to up-to-date, evidence-based knowledge.</w:t>
      </w:r>
    </w:p>
    <w:p w:rsidR="00000000" w:rsidDel="00000000" w:rsidP="00000000" w:rsidRDefault="00000000" w:rsidRPr="00000000" w14:paraId="0000001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Facilitate personalized patient education through clear, sourced explanations of conditions and treatments.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evaluation focuses on these pillars: faithfulness to the source and factual correctness, which together maximize clinical safety and the practical value of LLMs in medicine.</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2"/>
        <w:rPr/>
      </w:pPr>
      <w:bookmarkStart w:colFirst="0" w:colLast="0" w:name="_heading=h.1vknl8hwlyub" w:id="6"/>
      <w:bookmarkEnd w:id="6"/>
      <w:r w:rsidDel="00000000" w:rsidR="00000000" w:rsidRPr="00000000">
        <w:rPr>
          <w:rtl w:val="0"/>
        </w:rPr>
        <w:t xml:space="preserve">Introduction to the Dataset We Tested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this evaluation, we utilized the Oxford Medical Diagnostic Handbook, a peer-reviewed reference designed to provide concise diagnostic, prognostic, and management criteria. It covers a comprehensive array of common clinical presentations and includes a robust database of information such as stepwise diagnostic checklists, standard dosing regimens, high-urgency “red flag” indicators across various symptom domains, evidence-based management protocols, and typical complications and prognostic factors.</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Each scenario was engineered to simulate real-world point-of-care queries from practicing clinicians, ensuring both breadth and depth of diagnostic challenge.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rPr/>
      </w:pPr>
      <w:bookmarkStart w:colFirst="0" w:colLast="0" w:name="_heading=h.msov7f10x41f" w:id="7"/>
      <w:bookmarkEnd w:id="7"/>
      <w:r w:rsidDel="00000000" w:rsidR="00000000" w:rsidRPr="00000000">
        <w:rPr>
          <w:rtl w:val="0"/>
        </w:rPr>
        <w:t xml:space="preserve">Methodology</w:t>
      </w:r>
    </w:p>
    <w:p w:rsidR="00000000" w:rsidDel="00000000" w:rsidP="00000000" w:rsidRDefault="00000000" w:rsidRPr="00000000" w14:paraId="00000026">
      <w:pPr>
        <w:rPr/>
      </w:pPr>
      <w:r w:rsidDel="00000000" w:rsidR="00000000" w:rsidRPr="00000000">
        <w:rPr>
          <w:rtl w:val="0"/>
        </w:rPr>
        <w:t xml:space="preserve">Two RAG pipelines were benchmarked. The Legacy Chunking Method and the Blockify Method. Details on each method are described below. </w:t>
      </w:r>
    </w:p>
    <w:p w:rsidR="00000000" w:rsidDel="00000000" w:rsidP="00000000" w:rsidRDefault="00000000" w:rsidRPr="00000000" w14:paraId="00000027">
      <w:pPr>
        <w:pStyle w:val="Heading3"/>
        <w:rPr/>
      </w:pPr>
      <w:bookmarkStart w:colFirst="0" w:colLast="0" w:name="_heading=h.lnobfbffswkg" w:id="8"/>
      <w:bookmarkEnd w:id="8"/>
      <w:r w:rsidDel="00000000" w:rsidR="00000000" w:rsidRPr="00000000">
        <w:rPr>
          <w:rtl w:val="0"/>
        </w:rPr>
        <w:t xml:space="preserve">1. Legacy Chunking Method</w:t>
      </w:r>
    </w:p>
    <w:p w:rsidR="00000000" w:rsidDel="00000000" w:rsidP="00000000" w:rsidRDefault="00000000" w:rsidRPr="00000000" w14:paraId="00000028">
      <w:pPr>
        <w:rPr/>
      </w:pPr>
      <w:r w:rsidDel="00000000" w:rsidR="00000000" w:rsidRPr="00000000">
        <w:rPr>
          <w:rtl w:val="0"/>
        </w:rPr>
        <w:t xml:space="preserve">The Legacy Chunking Method, typically employed in standard Retrieval-Augmented Generation (RAG) systems, involves breaking down text into equally sized segments—commonly using fixed character counts (such as 1,000 characters per chunk) or by paragraph boundaries. This approach is widely used in out-of-the-box RAG or vector database solutions due to its simplicity and ease of implementation.</w:t>
      </w:r>
    </w:p>
    <w:p w:rsidR="00000000" w:rsidDel="00000000" w:rsidP="00000000" w:rsidRDefault="00000000" w:rsidRPr="00000000" w14:paraId="00000029">
      <w:pPr>
        <w:pStyle w:val="Heading4"/>
        <w:rPr/>
      </w:pPr>
      <w:bookmarkStart w:colFirst="0" w:colLast="0" w:name="_heading=h.traiakmx5i77" w:id="9"/>
      <w:bookmarkEnd w:id="9"/>
      <w:r w:rsidDel="00000000" w:rsidR="00000000" w:rsidRPr="00000000">
        <w:rPr>
          <w:rtl w:val="0"/>
        </w:rPr>
        <w:t xml:space="preserve">How the Legacy Chunking Method works:</w:t>
      </w:r>
    </w:p>
    <w:p w:rsidR="00000000" w:rsidDel="00000000" w:rsidP="00000000" w:rsidRDefault="00000000" w:rsidRPr="00000000" w14:paraId="0000002A">
      <w:pPr>
        <w:numPr>
          <w:ilvl w:val="0"/>
          <w:numId w:val="24"/>
        </w:numPr>
        <w:ind w:left="720" w:hanging="360"/>
        <w:rPr>
          <w:u w:val="none"/>
        </w:rPr>
      </w:pPr>
      <w:r w:rsidDel="00000000" w:rsidR="00000000" w:rsidRPr="00000000">
        <w:rPr>
          <w:rtl w:val="0"/>
        </w:rPr>
        <w:t xml:space="preserve">After parsing documents (such as from PDFs, Word files, or other unstructured sources), the entire text is divided into these predetermined “chunks” of a set length or by naïve boundaries like paragraphs.</w:t>
      </w:r>
      <w:r w:rsidDel="00000000" w:rsidR="00000000" w:rsidRPr="00000000">
        <w:rPr>
          <w:rtl w:val="0"/>
        </w:rPr>
      </w:r>
    </w:p>
    <w:p w:rsidR="00000000" w:rsidDel="00000000" w:rsidP="00000000" w:rsidRDefault="00000000" w:rsidRPr="00000000" w14:paraId="0000002B">
      <w:pPr>
        <w:numPr>
          <w:ilvl w:val="0"/>
          <w:numId w:val="24"/>
        </w:numPr>
        <w:ind w:left="720" w:hanging="360"/>
        <w:rPr>
          <w:u w:val="none"/>
        </w:rPr>
      </w:pPr>
      <w:r w:rsidDel="00000000" w:rsidR="00000000" w:rsidRPr="00000000">
        <w:rPr>
          <w:rtl w:val="0"/>
        </w:rPr>
        <w:t xml:space="preserve">To avoid losing sentence continuity, a small character overlap between consecutive chunks is often introduced.</w:t>
      </w:r>
      <w:r w:rsidDel="00000000" w:rsidR="00000000" w:rsidRPr="00000000">
        <w:rPr>
          <w:rtl w:val="0"/>
        </w:rPr>
      </w:r>
    </w:p>
    <w:p w:rsidR="00000000" w:rsidDel="00000000" w:rsidP="00000000" w:rsidRDefault="00000000" w:rsidRPr="00000000" w14:paraId="0000002C">
      <w:pPr>
        <w:numPr>
          <w:ilvl w:val="0"/>
          <w:numId w:val="24"/>
        </w:numPr>
        <w:ind w:left="720" w:hanging="360"/>
        <w:rPr>
          <w:u w:val="none"/>
        </w:rPr>
      </w:pPr>
      <w:r w:rsidDel="00000000" w:rsidR="00000000" w:rsidRPr="00000000">
        <w:rPr>
          <w:rtl w:val="0"/>
        </w:rPr>
        <w:t xml:space="preserve">Each chunk is then independently converted to a vector embedding and indexed in a vector database for later retrieval by LLM queries.</w:t>
      </w:r>
      <w:r w:rsidDel="00000000" w:rsidR="00000000" w:rsidRPr="00000000">
        <w:rPr>
          <w:rtl w:val="0"/>
        </w:rPr>
      </w:r>
    </w:p>
    <w:p w:rsidR="00000000" w:rsidDel="00000000" w:rsidP="00000000" w:rsidRDefault="00000000" w:rsidRPr="00000000" w14:paraId="0000002D">
      <w:pPr>
        <w:pStyle w:val="Heading4"/>
        <w:rPr/>
      </w:pPr>
      <w:bookmarkStart w:colFirst="0" w:colLast="0" w:name="_heading=h.o2g3rrmlz3rq" w:id="10"/>
      <w:bookmarkEnd w:id="10"/>
      <w:r w:rsidDel="00000000" w:rsidR="00000000" w:rsidRPr="00000000">
        <w:rPr>
          <w:rtl w:val="0"/>
        </w:rPr>
        <w:t xml:space="preserve">Legacy Chunking Method Limitations:</w:t>
      </w:r>
    </w:p>
    <w:p w:rsidR="00000000" w:rsidDel="00000000" w:rsidP="00000000" w:rsidRDefault="00000000" w:rsidRPr="00000000" w14:paraId="0000002E">
      <w:pPr>
        <w:numPr>
          <w:ilvl w:val="0"/>
          <w:numId w:val="3"/>
        </w:numPr>
        <w:ind w:left="720" w:hanging="360"/>
        <w:rPr>
          <w:u w:val="none"/>
        </w:rPr>
      </w:pPr>
      <w:r w:rsidDel="00000000" w:rsidR="00000000" w:rsidRPr="00000000">
        <w:rPr>
          <w:rtl w:val="0"/>
        </w:rPr>
        <w:t xml:space="preserve">Semantic Fragmentation: Because segmentation is not context-aware, a single coherent idea or answer may be split across two or more chunks. This fragmentation results in incomplete or diluted evidence when the LLM is prompted with these segments.</w:t>
      </w:r>
      <w:r w:rsidDel="00000000" w:rsidR="00000000" w:rsidRPr="00000000">
        <w:rPr>
          <w:rtl w:val="0"/>
        </w:rPr>
      </w:r>
    </w:p>
    <w:p w:rsidR="00000000" w:rsidDel="00000000" w:rsidP="00000000" w:rsidRDefault="00000000" w:rsidRPr="00000000" w14:paraId="0000002F">
      <w:pPr>
        <w:numPr>
          <w:ilvl w:val="0"/>
          <w:numId w:val="3"/>
        </w:numPr>
        <w:ind w:left="720" w:hanging="360"/>
        <w:rPr>
          <w:u w:val="none"/>
        </w:rPr>
      </w:pPr>
      <w:r w:rsidDel="00000000" w:rsidR="00000000" w:rsidRPr="00000000">
        <w:rPr>
          <w:rtl w:val="0"/>
        </w:rPr>
        <w:t xml:space="preserve">Noise and Redundancy: Chunks often contain information irrelevant to a specific query, decreasing the precision of vector search results and increasing the risk of irrelevant or duplicated retrievals.</w:t>
      </w:r>
      <w:r w:rsidDel="00000000" w:rsidR="00000000" w:rsidRPr="00000000">
        <w:rPr>
          <w:rtl w:val="0"/>
        </w:rPr>
      </w:r>
    </w:p>
    <w:p w:rsidR="00000000" w:rsidDel="00000000" w:rsidP="00000000" w:rsidRDefault="00000000" w:rsidRPr="00000000" w14:paraId="00000030">
      <w:pPr>
        <w:numPr>
          <w:ilvl w:val="0"/>
          <w:numId w:val="3"/>
        </w:numPr>
        <w:ind w:left="720" w:hanging="360"/>
        <w:rPr>
          <w:u w:val="none"/>
        </w:rPr>
      </w:pPr>
      <w:r w:rsidDel="00000000" w:rsidR="00000000" w:rsidRPr="00000000">
        <w:rPr>
          <w:rtl w:val="0"/>
        </w:rPr>
        <w:t xml:space="preserve">Context Loss: The strict boundaries may sever logical relationships between sentences or sections, reducing the LLM’s ability to understand and respond accurately.</w:t>
      </w:r>
      <w:r w:rsidDel="00000000" w:rsidR="00000000" w:rsidRPr="00000000">
        <w:rPr>
          <w:rtl w:val="0"/>
        </w:rPr>
      </w:r>
    </w:p>
    <w:p w:rsidR="00000000" w:rsidDel="00000000" w:rsidP="00000000" w:rsidRDefault="00000000" w:rsidRPr="00000000" w14:paraId="00000031">
      <w:pPr>
        <w:pStyle w:val="Heading3"/>
        <w:rPr/>
      </w:pPr>
      <w:bookmarkStart w:colFirst="0" w:colLast="0" w:name="_heading=h.l739bam3upd7" w:id="11"/>
      <w:bookmarkEnd w:id="11"/>
      <w:r w:rsidDel="00000000" w:rsidR="00000000" w:rsidRPr="00000000">
        <w:rPr>
          <w:rtl w:val="0"/>
        </w:rPr>
        <w:t xml:space="preserve">2. Blockify Method</w:t>
      </w:r>
    </w:p>
    <w:p w:rsidR="00000000" w:rsidDel="00000000" w:rsidP="00000000" w:rsidRDefault="00000000" w:rsidRPr="00000000" w14:paraId="00000032">
      <w:pPr>
        <w:rPr/>
      </w:pPr>
      <w:r w:rsidDel="00000000" w:rsidR="00000000" w:rsidRPr="00000000">
        <w:rPr>
          <w:rtl w:val="0"/>
        </w:rPr>
        <w:t xml:space="preserve">The Blockify Method represents an advanced, context-first approach to data ingestion and knowledge distillation specifically designed to maximize the performance and reliability of RAG systems in enterprise environments. The Blockify Method’s IdeaBlocks which are generated via the Blockify process used the identical source material to the Chunking Method approach.</w:t>
      </w:r>
    </w:p>
    <w:p w:rsidR="00000000" w:rsidDel="00000000" w:rsidP="00000000" w:rsidRDefault="00000000" w:rsidRPr="00000000" w14:paraId="00000033">
      <w:pPr>
        <w:pStyle w:val="Heading4"/>
        <w:rPr/>
      </w:pPr>
      <w:bookmarkStart w:colFirst="0" w:colLast="0" w:name="_heading=h.w654cohwj7z" w:id="12"/>
      <w:bookmarkEnd w:id="12"/>
      <w:r w:rsidDel="00000000" w:rsidR="00000000" w:rsidRPr="00000000">
        <w:rPr>
          <w:rtl w:val="0"/>
        </w:rPr>
        <w:t xml:space="preserve">How Blockify works:</w:t>
      </w:r>
    </w:p>
    <w:p w:rsidR="00000000" w:rsidDel="00000000" w:rsidP="00000000" w:rsidRDefault="00000000" w:rsidRPr="00000000" w14:paraId="00000034">
      <w:pPr>
        <w:numPr>
          <w:ilvl w:val="0"/>
          <w:numId w:val="21"/>
        </w:numPr>
        <w:ind w:left="720" w:hanging="360"/>
        <w:rPr>
          <w:u w:val="none"/>
        </w:rPr>
      </w:pPr>
      <w:r w:rsidDel="00000000" w:rsidR="00000000" w:rsidRPr="00000000">
        <w:rPr>
          <w:rtl w:val="0"/>
        </w:rPr>
        <w:t xml:space="preserve">Upon document ingestion, a context-aware segmentation process analyzes the underlying text—not just for length, but for logical and semantic coherence.</w:t>
      </w:r>
      <w:r w:rsidDel="00000000" w:rsidR="00000000" w:rsidRPr="00000000">
        <w:rPr>
          <w:rtl w:val="0"/>
        </w:rPr>
      </w:r>
    </w:p>
    <w:p w:rsidR="00000000" w:rsidDel="00000000" w:rsidP="00000000" w:rsidRDefault="00000000" w:rsidRPr="00000000" w14:paraId="00000035">
      <w:pPr>
        <w:numPr>
          <w:ilvl w:val="0"/>
          <w:numId w:val="21"/>
        </w:numPr>
        <w:ind w:left="720" w:hanging="360"/>
        <w:rPr>
          <w:u w:val="none"/>
        </w:rPr>
      </w:pPr>
      <w:r w:rsidDel="00000000" w:rsidR="00000000" w:rsidRPr="00000000">
        <w:rPr>
          <w:rtl w:val="0"/>
        </w:rPr>
        <w:t xml:space="preserve">Instead of indiscriminately splitting at fixed lengths, Blockify leverages fine-tuned LLMs and specialized algorithms to identify and extract “IdeaBlocks”—discrete, contextually complete knowledge units.</w:t>
      </w:r>
      <w:r w:rsidDel="00000000" w:rsidR="00000000" w:rsidRPr="00000000">
        <w:rPr>
          <w:rtl w:val="0"/>
        </w:rPr>
      </w:r>
    </w:p>
    <w:p w:rsidR="00000000" w:rsidDel="00000000" w:rsidP="00000000" w:rsidRDefault="00000000" w:rsidRPr="00000000" w14:paraId="00000036">
      <w:pPr>
        <w:numPr>
          <w:ilvl w:val="0"/>
          <w:numId w:val="21"/>
        </w:numPr>
        <w:ind w:left="720" w:hanging="360"/>
        <w:rPr>
          <w:u w:val="none"/>
        </w:rPr>
      </w:pPr>
      <w:r w:rsidDel="00000000" w:rsidR="00000000" w:rsidRPr="00000000">
        <w:rPr>
          <w:rtl w:val="0"/>
        </w:rPr>
        <w:t xml:space="preserve">Each IdeaBlock is constructed to contain a clear descriptive name, a critical business/question context, and a canonical, trustworthy answer, along with rich metadata and tags.</w:t>
      </w:r>
      <w:r w:rsidDel="00000000" w:rsidR="00000000" w:rsidRPr="00000000">
        <w:rPr>
          <w:rtl w:val="0"/>
        </w:rPr>
      </w:r>
    </w:p>
    <w:p w:rsidR="00000000" w:rsidDel="00000000" w:rsidP="00000000" w:rsidRDefault="00000000" w:rsidRPr="00000000" w14:paraId="00000037">
      <w:pPr>
        <w:numPr>
          <w:ilvl w:val="0"/>
          <w:numId w:val="21"/>
        </w:numPr>
        <w:ind w:left="720" w:hanging="360"/>
        <w:rPr>
          <w:u w:val="none"/>
        </w:rPr>
      </w:pPr>
      <w:r w:rsidDel="00000000" w:rsidR="00000000" w:rsidRPr="00000000">
        <w:rPr>
          <w:rtl w:val="0"/>
        </w:rPr>
        <w:t xml:space="preserve">Similar and duplicate IdeaBlocks across documents are automatically deduplicated and merged, creating a single canonical block. This ensures consistency and dramatically reduces redundant information.</w:t>
      </w:r>
      <w:r w:rsidDel="00000000" w:rsidR="00000000" w:rsidRPr="00000000">
        <w:rPr>
          <w:rtl w:val="0"/>
        </w:rPr>
      </w:r>
    </w:p>
    <w:p w:rsidR="00000000" w:rsidDel="00000000" w:rsidP="00000000" w:rsidRDefault="00000000" w:rsidRPr="00000000" w14:paraId="00000038">
      <w:pPr>
        <w:numPr>
          <w:ilvl w:val="0"/>
          <w:numId w:val="21"/>
        </w:numPr>
        <w:ind w:left="720" w:hanging="360"/>
        <w:rPr>
          <w:u w:val="none"/>
        </w:rPr>
      </w:pPr>
      <w:r w:rsidDel="00000000" w:rsidR="00000000" w:rsidRPr="00000000">
        <w:rPr>
          <w:rtl w:val="0"/>
        </w:rPr>
        <w:t xml:space="preserve">Every block preserves contiguous, guideline-driven logic, making sure all supporting evidence and reasoning for a given idea or answer are contained together.</w:t>
      </w:r>
      <w:r w:rsidDel="00000000" w:rsidR="00000000" w:rsidRPr="00000000">
        <w:rPr>
          <w:rtl w:val="0"/>
        </w:rPr>
      </w:r>
    </w:p>
    <w:p w:rsidR="00000000" w:rsidDel="00000000" w:rsidP="00000000" w:rsidRDefault="00000000" w:rsidRPr="00000000" w14:paraId="00000039">
      <w:pPr>
        <w:pStyle w:val="Heading4"/>
        <w:rPr/>
      </w:pPr>
      <w:bookmarkStart w:colFirst="0" w:colLast="0" w:name="_heading=h.b9g8pz6ybq0f" w:id="13"/>
      <w:bookmarkEnd w:id="13"/>
      <w:r w:rsidDel="00000000" w:rsidR="00000000" w:rsidRPr="00000000">
        <w:rPr>
          <w:rtl w:val="0"/>
        </w:rPr>
        <w:t xml:space="preserve">Blockify Benefits:</w:t>
      </w:r>
    </w:p>
    <w:p w:rsidR="00000000" w:rsidDel="00000000" w:rsidP="00000000" w:rsidRDefault="00000000" w:rsidRPr="00000000" w14:paraId="0000003A">
      <w:pPr>
        <w:numPr>
          <w:ilvl w:val="0"/>
          <w:numId w:val="14"/>
        </w:numPr>
        <w:ind w:left="720" w:hanging="360"/>
        <w:rPr>
          <w:u w:val="none"/>
        </w:rPr>
      </w:pPr>
      <w:r w:rsidDel="00000000" w:rsidR="00000000" w:rsidRPr="00000000">
        <w:rPr>
          <w:rtl w:val="0"/>
        </w:rPr>
        <w:t xml:space="preserve">Semantic Integrity: Blocks are context-complete and self-contained, capturing the full evidence or insight behind an idea, which improves the factual accuracy and relevance of LLM answers.</w:t>
      </w:r>
      <w:r w:rsidDel="00000000" w:rsidR="00000000" w:rsidRPr="00000000">
        <w:rPr>
          <w:rtl w:val="0"/>
        </w:rPr>
      </w:r>
    </w:p>
    <w:p w:rsidR="00000000" w:rsidDel="00000000" w:rsidP="00000000" w:rsidRDefault="00000000" w:rsidRPr="00000000" w14:paraId="0000003B">
      <w:pPr>
        <w:numPr>
          <w:ilvl w:val="0"/>
          <w:numId w:val="14"/>
        </w:numPr>
        <w:ind w:left="720" w:hanging="360"/>
        <w:rPr>
          <w:u w:val="none"/>
        </w:rPr>
      </w:pPr>
      <w:r w:rsidDel="00000000" w:rsidR="00000000" w:rsidRPr="00000000">
        <w:rPr>
          <w:rtl w:val="0"/>
        </w:rPr>
        <w:t xml:space="preserve">Precision and Efficiency: By minimizing fragmentation and obsolete redundancy, Blockify delivers higher-precision vector search and reduces the overall dataset size, optimizing compute, storage, and LLM token consumption.</w:t>
      </w:r>
      <w:r w:rsidDel="00000000" w:rsidR="00000000" w:rsidRPr="00000000">
        <w:rPr>
          <w:rtl w:val="0"/>
        </w:rPr>
      </w:r>
    </w:p>
    <w:p w:rsidR="00000000" w:rsidDel="00000000" w:rsidP="00000000" w:rsidRDefault="00000000" w:rsidRPr="00000000" w14:paraId="0000003C">
      <w:pPr>
        <w:numPr>
          <w:ilvl w:val="0"/>
          <w:numId w:val="14"/>
        </w:numPr>
        <w:ind w:left="720" w:hanging="360"/>
        <w:rPr>
          <w:u w:val="none"/>
        </w:rPr>
      </w:pPr>
      <w:r w:rsidDel="00000000" w:rsidR="00000000" w:rsidRPr="00000000">
        <w:rPr>
          <w:rtl w:val="0"/>
        </w:rPr>
        <w:t xml:space="preserve">Governance and Compliance: Each IdeaBlock can be finely tagged for access controls, regulatory compliance, and knowledge lifecycle management, supporting enterprise auditability and operational security.</w:t>
      </w: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pStyle w:val="Heading3"/>
        <w:rPr/>
      </w:pPr>
      <w:bookmarkStart w:colFirst="0" w:colLast="0" w:name="_heading=h.bgxw2hy6qpb0" w:id="14"/>
      <w:bookmarkEnd w:id="14"/>
      <w:r w:rsidDel="00000000" w:rsidR="00000000" w:rsidRPr="00000000">
        <w:rPr>
          <w:rtl w:val="0"/>
        </w:rPr>
        <w:t xml:space="preserve">LLMs and Evaluation Criteria</w:t>
      </w:r>
    </w:p>
    <w:p w:rsidR="00000000" w:rsidDel="00000000" w:rsidP="00000000" w:rsidRDefault="00000000" w:rsidRPr="00000000" w14:paraId="0000003F">
      <w:pPr>
        <w:ind w:left="0" w:firstLine="0"/>
        <w:rPr/>
      </w:pPr>
      <w:r w:rsidDel="00000000" w:rsidR="00000000" w:rsidRPr="00000000">
        <w:rPr>
          <w:rtl w:val="0"/>
        </w:rPr>
        <w:t xml:space="preserve">Each user query was run on the same LLM, a LLAMA 3.2 3B MLC-LLM Quantized Model, representative of a real-world edge deployed model. The model for both tests was identical and running on the AirgapAI application. The model was presented with identical user queries for both methods.</w:t>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t xml:space="preserve">Each LLM answer was scored independently and blindly using a much more intelligent LLM (Google’s Gemini 2.5 Flash) against the raw RAG source using two criteria:</w:t>
      </w:r>
    </w:p>
    <w:p w:rsidR="00000000" w:rsidDel="00000000" w:rsidP="00000000" w:rsidRDefault="00000000" w:rsidRPr="00000000" w14:paraId="00000042">
      <w:pPr>
        <w:ind w:left="720" w:firstLine="0"/>
        <w:rPr/>
      </w:pPr>
      <w:r w:rsidDel="00000000" w:rsidR="00000000" w:rsidRPr="00000000">
        <w:rPr>
          <w:rtl w:val="0"/>
        </w:rPr>
      </w:r>
    </w:p>
    <w:p w:rsidR="00000000" w:rsidDel="00000000" w:rsidP="00000000" w:rsidRDefault="00000000" w:rsidRPr="00000000" w14:paraId="00000043">
      <w:pPr>
        <w:numPr>
          <w:ilvl w:val="0"/>
          <w:numId w:val="26"/>
        </w:numPr>
        <w:ind w:left="720" w:hanging="360"/>
        <w:rPr>
          <w:u w:val="none"/>
        </w:rPr>
      </w:pPr>
      <w:r w:rsidDel="00000000" w:rsidR="00000000" w:rsidRPr="00000000">
        <w:rPr>
          <w:rtl w:val="0"/>
        </w:rPr>
        <w:t xml:space="preserve">Source Fidelity: Strictness of reliance on the retrieved evidence; absence of over-extension/hallucination.</w:t>
      </w:r>
      <w:r w:rsidDel="00000000" w:rsidR="00000000" w:rsidRPr="00000000">
        <w:rPr>
          <w:rtl w:val="0"/>
        </w:rPr>
      </w:r>
    </w:p>
    <w:p w:rsidR="00000000" w:rsidDel="00000000" w:rsidP="00000000" w:rsidRDefault="00000000" w:rsidRPr="00000000" w14:paraId="00000044">
      <w:pPr>
        <w:numPr>
          <w:ilvl w:val="0"/>
          <w:numId w:val="26"/>
        </w:numPr>
        <w:ind w:left="720" w:hanging="360"/>
        <w:rPr>
          <w:u w:val="none"/>
        </w:rPr>
      </w:pPr>
      <w:r w:rsidDel="00000000" w:rsidR="00000000" w:rsidRPr="00000000">
        <w:rPr>
          <w:rtl w:val="0"/>
        </w:rPr>
        <w:t xml:space="preserve">Accuracy: Completeness and correctness of the medical logic within the factual limits of the RAG result.</w:t>
      </w:r>
      <w:r w:rsidDel="00000000" w:rsidR="00000000" w:rsidRPr="00000000">
        <w:rPr>
          <w:rtl w:val="0"/>
        </w:rPr>
      </w:r>
    </w:p>
    <w:p w:rsidR="00000000" w:rsidDel="00000000" w:rsidP="00000000" w:rsidRDefault="00000000" w:rsidRPr="00000000" w14:paraId="00000045">
      <w:pPr>
        <w:pStyle w:val="Heading3"/>
        <w:rPr/>
      </w:pPr>
      <w:bookmarkStart w:colFirst="0" w:colLast="0" w:name="_heading=h.xh5qq8mbxzqi" w:id="15"/>
      <w:bookmarkEnd w:id="15"/>
      <w:r w:rsidDel="00000000" w:rsidR="00000000" w:rsidRPr="00000000">
        <w:rPr>
          <w:rtl w:val="0"/>
        </w:rPr>
        <w:t xml:space="preserve">Metrics Calculation</w:t>
      </w:r>
    </w:p>
    <w:p w:rsidR="00000000" w:rsidDel="00000000" w:rsidP="00000000" w:rsidRDefault="00000000" w:rsidRPr="00000000" w14:paraId="00000046">
      <w:pPr>
        <w:numPr>
          <w:ilvl w:val="0"/>
          <w:numId w:val="9"/>
        </w:numPr>
        <w:ind w:left="720" w:hanging="360"/>
        <w:rPr>
          <w:u w:val="none"/>
        </w:rPr>
      </w:pPr>
      <w:r w:rsidDel="00000000" w:rsidR="00000000" w:rsidRPr="00000000">
        <w:rPr>
          <w:rtl w:val="0"/>
        </w:rPr>
        <w:t xml:space="preserve">For each query, scores for Blockify Method were computed as a percentage improvement over Chunking Method: Improvement (%) = (Score_Method2 / Score_Method1) * 100</w:t>
      </w:r>
      <w:r w:rsidDel="00000000" w:rsidR="00000000" w:rsidRPr="00000000">
        <w:rPr>
          <w:rtl w:val="0"/>
        </w:rPr>
      </w:r>
    </w:p>
    <w:p w:rsidR="00000000" w:rsidDel="00000000" w:rsidP="00000000" w:rsidRDefault="00000000" w:rsidRPr="00000000" w14:paraId="00000047">
      <w:pPr>
        <w:numPr>
          <w:ilvl w:val="0"/>
          <w:numId w:val="9"/>
        </w:numPr>
        <w:ind w:left="720" w:hanging="360"/>
        <w:rPr>
          <w:u w:val="none"/>
        </w:rPr>
      </w:pPr>
      <w:r w:rsidDel="00000000" w:rsidR="00000000" w:rsidRPr="00000000">
        <w:rPr>
          <w:rtl w:val="0"/>
        </w:rPr>
        <w:t xml:space="preserve">Aggregate average improvement across all test queries was computed.</w:t>
      </w:r>
      <w:r w:rsidDel="00000000" w:rsidR="00000000" w:rsidRPr="00000000">
        <w:rPr>
          <w:rtl w:val="0"/>
        </w:rPr>
      </w:r>
    </w:p>
    <w:p w:rsidR="00000000" w:rsidDel="00000000" w:rsidP="00000000" w:rsidRDefault="00000000" w:rsidRPr="00000000" w14:paraId="00000048">
      <w:pPr>
        <w:pStyle w:val="Heading3"/>
        <w:rPr/>
      </w:pPr>
      <w:bookmarkStart w:colFirst="0" w:colLast="0" w:name="_heading=h.98kfqvgvwn2c" w:id="16"/>
      <w:bookmarkEnd w:id="16"/>
      <w:r w:rsidDel="00000000" w:rsidR="00000000" w:rsidRPr="00000000">
        <w:rPr>
          <w:rtl w:val="0"/>
        </w:rPr>
        <w:t xml:space="preserve">Test Questions</w:t>
      </w:r>
    </w:p>
    <w:p w:rsidR="00000000" w:rsidDel="00000000" w:rsidP="00000000" w:rsidRDefault="00000000" w:rsidRPr="00000000" w14:paraId="00000049">
      <w:pPr>
        <w:rPr/>
      </w:pPr>
      <w:r w:rsidDel="00000000" w:rsidR="00000000" w:rsidRPr="00000000">
        <w:rPr>
          <w:rtl w:val="0"/>
        </w:rPr>
        <w:t xml:space="preserve">Nine clinical questions were posed spanning diagnosis, red flag detection, immediate management, testing, and patient communication.</w:t>
      </w:r>
    </w:p>
    <w:p w:rsidR="00000000" w:rsidDel="00000000" w:rsidP="00000000" w:rsidRDefault="00000000" w:rsidRPr="00000000" w14:paraId="0000004A">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1155cc"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rPr>
            </w:pPr>
            <w:r w:rsidDel="00000000" w:rsidR="00000000" w:rsidRPr="00000000">
              <w:rPr>
                <w:b w:val="1"/>
                <w:color w:val="ffffff"/>
                <w:rtl w:val="0"/>
              </w:rPr>
              <w:t xml:space="preserve">Sample Query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Summarize the initial management of diabetic ketoacidosis</w:t>
            </w:r>
          </w:p>
        </w:tc>
      </w:tr>
    </w:tbl>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1155cc"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color w:val="ffffff"/>
              </w:rPr>
            </w:pPr>
            <w:r w:rsidDel="00000000" w:rsidR="00000000" w:rsidRPr="00000000">
              <w:rPr>
                <w:b w:val="1"/>
                <w:color w:val="ffffff"/>
                <w:rtl w:val="0"/>
              </w:rPr>
              <w:t xml:space="preserve">Chunking Method Source Data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18"/>
                <w:szCs w:val="18"/>
              </w:rPr>
            </w:pPr>
            <w:r w:rsidDel="00000000" w:rsidR="00000000" w:rsidRPr="00000000">
              <w:rPr>
                <w:sz w:val="18"/>
                <w:szCs w:val="18"/>
                <w:rtl w:val="0"/>
              </w:rPr>
              <w:t xml:space="preserve">excretion are also being measured, for instance in stone formers. Spot urine naconcentration is of very limited value, because naexcre- tion varies considerably through the day and because it is normally influ- enced by urine dilution, and hence by recent water intake. however, there are two situations in which it may be of value. During antihypertensive and antiproteinuric treatment: salt restriction Acute kidney injury the normal response of the kidneys to underperfusion from hypovolaemia or hypotension is to retain salt avidly, urine na concentration dropping to &lt;10mmol/L. If urinary na concentration is this low in AKI, this indicates normal ability of the renal tubules to retain salt. Low urine na concentra- tion is seen in ‘pre-renal’ renal failure; Atn results in loss of tubular salt reabsorption and a higher urine na concentration. the problem is that some conditions other than underperfusion can cause low urine na (e.g. contrast nephropathy, rhabdomyolysis). high urine na does</w:t>
            </w:r>
          </w:p>
          <w:p w:rsidR="00000000" w:rsidDel="00000000" w:rsidP="00000000" w:rsidRDefault="00000000" w:rsidRPr="00000000" w14:paraId="00000051">
            <w:pPr>
              <w:widowControl w:val="0"/>
              <w:spacing w:line="240" w:lineRule="auto"/>
              <w:rPr>
                <w:sz w:val="18"/>
                <w:szCs w:val="18"/>
              </w:rPr>
            </w:pPr>
            <w:r w:rsidDel="00000000" w:rsidR="00000000" w:rsidRPr="00000000">
              <w:rPr>
                <w:sz w:val="18"/>
                <w:szCs w:val="18"/>
                <w:rtl w:val="0"/>
              </w:rPr>
              <w:t xml:space="preserve">this gives an index of avidity of na reabsorption independent of changes of &lt;1% is seen in pre-renal failure and of in overall renal function. An FE &gt;1% in Atn. however, this measurement is prone to some of the same criticisms as that of urine naexcretion. + na + Sodium-wasting and sodium-retaining states nawasting is caused by diuretics, Bartter’s syndrome, Gitelman’s syn- drome, and occasionally renal tubular disease. It cannot be diagnosed by measurement of urine naexcretion alone, as at steady state, this equals naintake, but is diagnosed by finding clinical evidence of hypovolaemia without avid renal naretention. naretention is caused by diseases causing effective hypovolaemia (e.g. CCF), in which case the diagnosis is suggested by oedema and the clini- cal signs of the underlying disease. however, naretention can also cause hypertension without oedema, as in hyperaldosteronism, pseudohyperal- dosteronism, chronic renal failure, and inherited disorders of renal tubular naexcretion</w:t>
            </w:r>
          </w:p>
          <w:p w:rsidR="00000000" w:rsidDel="00000000" w:rsidP="00000000" w:rsidRDefault="00000000" w:rsidRPr="00000000" w14:paraId="00000052">
            <w:pPr>
              <w:widowControl w:val="0"/>
              <w:spacing w:line="240" w:lineRule="auto"/>
              <w:rPr>
                <w:sz w:val="18"/>
                <w:szCs w:val="18"/>
              </w:rPr>
            </w:pPr>
            <w:r w:rsidDel="00000000" w:rsidR="00000000" w:rsidRPr="00000000">
              <w:rPr>
                <w:sz w:val="18"/>
                <w:szCs w:val="18"/>
                <w:rtl w:val="0"/>
              </w:rPr>
              <w:t xml:space="preserve">nuria is best diagnosed by measurement of specific proteins whose presence in the urine results from tubular disease, e.g. retinol-binding protein (RBP), N-acetyl-D-glucosaminidase (nAG) or β2- microglobulin, either in 24h urine specimens or as ratios between the protein concentration and creatinine concentration. 3 national Institute for health and Care Excellence (2008). Chronic kidney disease: early identification http://www.nice.org.uk/Guidance/CG73. and management of chronic kidney disease in adults in primary and secondary care. Clinical guideline CG73. M ChAPtER 10 Renal medicine Assessment of selectivity of proteinuria the more severe the damage to glomerular permeability, the larger the protein molecules that pass through the glomerulus in glomerular disease. Measurement of the ratio of clearance of transferrin or albumin (a small molecule) to IgG (a large molecule) can therefore be used as a measure of selectivity and is calculated as follows: Albumin/IgG clearance = {(urine</w:t>
            </w:r>
          </w:p>
          <w:p w:rsidR="00000000" w:rsidDel="00000000" w:rsidP="00000000" w:rsidRDefault="00000000" w:rsidRPr="00000000" w14:paraId="00000053">
            <w:pPr>
              <w:widowControl w:val="0"/>
              <w:spacing w:line="240" w:lineRule="auto"/>
              <w:rPr>
                <w:sz w:val="18"/>
                <w:szCs w:val="18"/>
              </w:rPr>
            </w:pPr>
            <w:r w:rsidDel="00000000" w:rsidR="00000000" w:rsidRPr="00000000">
              <w:rPr>
                <w:sz w:val="18"/>
                <w:szCs w:val="18"/>
                <w:rtl w:val="0"/>
              </w:rPr>
              <w:t xml:space="preserve">delic acids (vMAs)), as they are more sensitive and specific and are released continuously. A single clearly positive estimation in the presence of hypertension is usually sufficient. If non-diagnostic, sampling in the recumbent position may help confirm normal levels (metanephrines are 2-fold higher in the seated position). Mild i can be seen in anxiety states and with very small lesions detected in the follow-up of familial, recurrent disease. Causes of false +ve results include methyldopa, levodopa, labetalol, sotalol, tricyclic and monoamine oxidase inhibitor (MAOI) antidepressants, paracetamol, sulfasalazine, sympathomimetics, cocaine, clonidine withdrawal, intracranial events (e.g. SAH, posterior fossa tumour), or metabolic stress (e.g. hypoglycaemia, MI). 3. Finding the tumour. Once the diagnosis is established, blockade (typically with increasing twice-daily (bd) doses of phenoxybenzamine) should be established before invasive investigation. The tumours are usually large (&gt;2cm)</w:t>
            </w:r>
          </w:p>
          <w:p w:rsidR="00000000" w:rsidDel="00000000" w:rsidP="00000000" w:rsidRDefault="00000000" w:rsidRPr="00000000" w14:paraId="00000054">
            <w:pPr>
              <w:widowControl w:val="0"/>
              <w:spacing w:line="240" w:lineRule="auto"/>
              <w:rPr>
                <w:sz w:val="18"/>
                <w:szCs w:val="18"/>
              </w:rPr>
            </w:pPr>
            <w:r w:rsidDel="00000000" w:rsidR="00000000" w:rsidRPr="00000000">
              <w:rPr>
                <w:sz w:val="18"/>
                <w:szCs w:val="18"/>
                <w:rtl w:val="0"/>
              </w:rPr>
              <w:t xml:space="preserve">elevation of γGT is common with even a small alcohol intake, and isolated elevation does not imply liver dis- ease. It rises in parallel with aLp in cholestasis. Albumin a protein that is synthesized in the liver. plasma concentration partially results from functional capacity within the liver. however, it has a serum half-life of 20 days and may be normal in early phases of acute liver disease. hypoalbuminaemia may also arise from i volume of distribution (sepsis, overhydration, pregnancy), i excretion or degradation (nephrotic syn- drome, protein-losing enteropathy), haemorrhage, or catabolic states such as malignancy or burns. Prothrombin time Test of plasma clotting activity and reflects the activity of vitamin K- dependent clotting factors synthesized by the liver. pT may be elevated in acute or chronic liver disease. In vitamin K deficiency with normal liver func- tion, pT will return to normal within 18h of administration of parenteral vitamin K. Bilirubin In liver disease,</w:t>
            </w:r>
          </w:p>
        </w:tc>
      </w:tr>
    </w:tbl>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1155cc"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b w:val="1"/>
                <w:color w:val="ffffff"/>
              </w:rPr>
            </w:pPr>
            <w:r w:rsidDel="00000000" w:rsidR="00000000" w:rsidRPr="00000000">
              <w:rPr>
                <w:b w:val="1"/>
                <w:color w:val="ffffff"/>
                <w:rtl w:val="0"/>
              </w:rPr>
              <w:t xml:space="preserve">Chunking Method LLM Response to User Query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240" w:before="240" w:line="240" w:lineRule="auto"/>
              <w:rPr/>
            </w:pPr>
            <w:r w:rsidDel="00000000" w:rsidR="00000000" w:rsidRPr="00000000">
              <w:rPr>
                <w:rtl w:val="0"/>
              </w:rPr>
              <w:t xml:space="preserve">Here is a summary of the initial management of diabetic ketoacidosis (DKA), excluding heart-related topics:</w:t>
            </w:r>
          </w:p>
          <w:p w:rsidR="00000000" w:rsidDel="00000000" w:rsidP="00000000" w:rsidRDefault="00000000" w:rsidRPr="00000000" w14:paraId="00000059">
            <w:pPr>
              <w:widowControl w:val="0"/>
              <w:spacing w:after="240" w:before="240" w:line="240" w:lineRule="auto"/>
              <w:rPr>
                <w:b w:val="1"/>
              </w:rPr>
            </w:pPr>
            <w:r w:rsidDel="00000000" w:rsidR="00000000" w:rsidRPr="00000000">
              <w:rPr>
                <w:b w:val="1"/>
                <w:rtl w:val="0"/>
              </w:rPr>
              <w:t xml:space="preserve">Diagnosis</w:t>
            </w:r>
          </w:p>
          <w:p w:rsidR="00000000" w:rsidDel="00000000" w:rsidP="00000000" w:rsidRDefault="00000000" w:rsidRPr="00000000" w14:paraId="0000005A">
            <w:pPr>
              <w:widowControl w:val="0"/>
              <w:numPr>
                <w:ilvl w:val="0"/>
                <w:numId w:val="4"/>
              </w:numPr>
              <w:spacing w:after="0" w:before="240" w:line="240" w:lineRule="auto"/>
              <w:ind w:left="720" w:hanging="360"/>
              <w:rPr/>
            </w:pPr>
            <w:r w:rsidDel="00000000" w:rsidR="00000000" w:rsidRPr="00000000">
              <w:rPr>
                <w:rtl w:val="0"/>
              </w:rPr>
              <w:t xml:space="preserve">DKA is diagnosed based on the presence of hyperglycemia, metabolic acidosis, and ketosis.</w:t>
            </w:r>
          </w:p>
          <w:p w:rsidR="00000000" w:rsidDel="00000000" w:rsidP="00000000" w:rsidRDefault="00000000" w:rsidRPr="00000000" w14:paraId="0000005B">
            <w:pPr>
              <w:widowControl w:val="0"/>
              <w:numPr>
                <w:ilvl w:val="0"/>
                <w:numId w:val="4"/>
              </w:numPr>
              <w:spacing w:after="240" w:before="0" w:line="240" w:lineRule="auto"/>
              <w:ind w:left="720" w:hanging="360"/>
              <w:rPr/>
            </w:pPr>
            <w:r w:rsidDel="00000000" w:rsidR="00000000" w:rsidRPr="00000000">
              <w:rPr>
                <w:rtl w:val="0"/>
              </w:rPr>
              <w:t xml:space="preserve">Urine ketone testing is used to confirm ketosis.</w:t>
            </w:r>
          </w:p>
          <w:p w:rsidR="00000000" w:rsidDel="00000000" w:rsidP="00000000" w:rsidRDefault="00000000" w:rsidRPr="00000000" w14:paraId="0000005C">
            <w:pPr>
              <w:widowControl w:val="0"/>
              <w:spacing w:after="240" w:before="240" w:line="240" w:lineRule="auto"/>
              <w:rPr>
                <w:b w:val="1"/>
              </w:rPr>
            </w:pPr>
            <w:r w:rsidDel="00000000" w:rsidR="00000000" w:rsidRPr="00000000">
              <w:rPr>
                <w:b w:val="1"/>
                <w:rtl w:val="0"/>
              </w:rPr>
              <w:t xml:space="preserve">Initial Management</w:t>
            </w:r>
          </w:p>
          <w:p w:rsidR="00000000" w:rsidDel="00000000" w:rsidP="00000000" w:rsidRDefault="00000000" w:rsidRPr="00000000" w14:paraId="0000005D">
            <w:pPr>
              <w:widowControl w:val="0"/>
              <w:numPr>
                <w:ilvl w:val="0"/>
                <w:numId w:val="7"/>
              </w:numPr>
              <w:spacing w:after="0" w:before="240" w:line="240" w:lineRule="auto"/>
              <w:ind w:left="720" w:hanging="360"/>
              <w:rPr/>
            </w:pPr>
            <w:r w:rsidDel="00000000" w:rsidR="00000000" w:rsidRPr="00000000">
              <w:rPr>
                <w:rtl w:val="0"/>
              </w:rPr>
              <w:t xml:space="preserve">Intravenous fluids (e.g., saline or D5W) are administered to correct dehydration and electrolyte imbalances.</w:t>
            </w:r>
          </w:p>
          <w:p w:rsidR="00000000" w:rsidDel="00000000" w:rsidP="00000000" w:rsidRDefault="00000000" w:rsidRPr="00000000" w14:paraId="0000005E">
            <w:pPr>
              <w:widowControl w:val="0"/>
              <w:numPr>
                <w:ilvl w:val="0"/>
                <w:numId w:val="7"/>
              </w:numPr>
              <w:spacing w:after="0" w:before="0" w:line="240" w:lineRule="auto"/>
              <w:ind w:left="720" w:hanging="360"/>
              <w:rPr/>
            </w:pPr>
            <w:r w:rsidDel="00000000" w:rsidR="00000000" w:rsidRPr="00000000">
              <w:rPr>
                <w:rtl w:val="0"/>
              </w:rPr>
              <w:t xml:space="preserve">Insulin therapy is initiated to control blood glucose levels.</w:t>
            </w:r>
          </w:p>
          <w:p w:rsidR="00000000" w:rsidDel="00000000" w:rsidP="00000000" w:rsidRDefault="00000000" w:rsidRPr="00000000" w14:paraId="0000005F">
            <w:pPr>
              <w:widowControl w:val="0"/>
              <w:numPr>
                <w:ilvl w:val="0"/>
                <w:numId w:val="7"/>
              </w:numPr>
              <w:spacing w:after="0" w:before="0" w:line="240" w:lineRule="auto"/>
              <w:ind w:left="720" w:hanging="360"/>
              <w:rPr/>
            </w:pPr>
            <w:r w:rsidDel="00000000" w:rsidR="00000000" w:rsidRPr="00000000">
              <w:rPr>
                <w:rtl w:val="0"/>
              </w:rPr>
              <w:t xml:space="preserve">Potassium supplements may be given to prevent hypokalemia.</w:t>
            </w:r>
          </w:p>
          <w:p w:rsidR="00000000" w:rsidDel="00000000" w:rsidP="00000000" w:rsidRDefault="00000000" w:rsidRPr="00000000" w14:paraId="00000060">
            <w:pPr>
              <w:widowControl w:val="0"/>
              <w:numPr>
                <w:ilvl w:val="0"/>
                <w:numId w:val="7"/>
              </w:numPr>
              <w:spacing w:after="240" w:before="0" w:line="240" w:lineRule="auto"/>
              <w:ind w:left="720" w:hanging="360"/>
              <w:rPr/>
            </w:pPr>
            <w:r w:rsidDel="00000000" w:rsidR="00000000" w:rsidRPr="00000000">
              <w:rPr>
                <w:rtl w:val="0"/>
              </w:rPr>
              <w:t xml:space="preserve">Electrolyte levels (e.g., sodium, chloride, and bicarbonate) are monitored and adjusted as needed.</w:t>
            </w:r>
          </w:p>
          <w:p w:rsidR="00000000" w:rsidDel="00000000" w:rsidP="00000000" w:rsidRDefault="00000000" w:rsidRPr="00000000" w14:paraId="00000061">
            <w:pPr>
              <w:widowControl w:val="0"/>
              <w:spacing w:after="240" w:before="240" w:line="240" w:lineRule="auto"/>
              <w:rPr>
                <w:b w:val="1"/>
              </w:rPr>
            </w:pPr>
            <w:r w:rsidDel="00000000" w:rsidR="00000000" w:rsidRPr="00000000">
              <w:rPr>
                <w:b w:val="1"/>
                <w:rtl w:val="0"/>
              </w:rPr>
              <w:t xml:space="preserve">Monitoring</w:t>
            </w:r>
          </w:p>
          <w:p w:rsidR="00000000" w:rsidDel="00000000" w:rsidP="00000000" w:rsidRDefault="00000000" w:rsidRPr="00000000" w14:paraId="00000062">
            <w:pPr>
              <w:widowControl w:val="0"/>
              <w:numPr>
                <w:ilvl w:val="0"/>
                <w:numId w:val="11"/>
              </w:numPr>
              <w:spacing w:after="0" w:before="240" w:line="240" w:lineRule="auto"/>
              <w:ind w:left="720" w:hanging="360"/>
              <w:rPr/>
            </w:pPr>
            <w:r w:rsidDel="00000000" w:rsidR="00000000" w:rsidRPr="00000000">
              <w:rPr>
                <w:rtl w:val="0"/>
              </w:rPr>
              <w:t xml:space="preserve">Blood glucose levels are monitored frequently to guide insulin therapy.</w:t>
            </w:r>
          </w:p>
          <w:p w:rsidR="00000000" w:rsidDel="00000000" w:rsidP="00000000" w:rsidRDefault="00000000" w:rsidRPr="00000000" w14:paraId="00000063">
            <w:pPr>
              <w:widowControl w:val="0"/>
              <w:numPr>
                <w:ilvl w:val="0"/>
                <w:numId w:val="11"/>
              </w:numPr>
              <w:spacing w:after="0" w:before="0" w:line="240" w:lineRule="auto"/>
              <w:ind w:left="720" w:hanging="360"/>
              <w:rPr/>
            </w:pPr>
            <w:r w:rsidDel="00000000" w:rsidR="00000000" w:rsidRPr="00000000">
              <w:rPr>
                <w:rtl w:val="0"/>
              </w:rPr>
              <w:t xml:space="preserve">Urine ketone testing is repeated to monitor ketosis.</w:t>
            </w:r>
          </w:p>
          <w:p w:rsidR="00000000" w:rsidDel="00000000" w:rsidP="00000000" w:rsidRDefault="00000000" w:rsidRPr="00000000" w14:paraId="00000064">
            <w:pPr>
              <w:widowControl w:val="0"/>
              <w:numPr>
                <w:ilvl w:val="0"/>
                <w:numId w:val="11"/>
              </w:numPr>
              <w:spacing w:after="240" w:before="0" w:line="240" w:lineRule="auto"/>
              <w:ind w:left="720" w:hanging="360"/>
              <w:rPr/>
            </w:pPr>
            <w:r w:rsidDel="00000000" w:rsidR="00000000" w:rsidRPr="00000000">
              <w:rPr>
                <w:rtl w:val="0"/>
              </w:rPr>
              <w:t xml:space="preserve">Electrolyte levels are monitored regularly to prevent imbalances.</w:t>
            </w:r>
          </w:p>
          <w:p w:rsidR="00000000" w:rsidDel="00000000" w:rsidP="00000000" w:rsidRDefault="00000000" w:rsidRPr="00000000" w14:paraId="00000065">
            <w:pPr>
              <w:widowControl w:val="0"/>
              <w:spacing w:after="240" w:before="240" w:line="240" w:lineRule="auto"/>
              <w:rPr>
                <w:b w:val="1"/>
              </w:rPr>
            </w:pPr>
            <w:r w:rsidDel="00000000" w:rsidR="00000000" w:rsidRPr="00000000">
              <w:rPr>
                <w:b w:val="1"/>
                <w:rtl w:val="0"/>
              </w:rPr>
              <w:t xml:space="preserve">Supportive Care</w:t>
            </w:r>
          </w:p>
          <w:p w:rsidR="00000000" w:rsidDel="00000000" w:rsidP="00000000" w:rsidRDefault="00000000" w:rsidRPr="00000000" w14:paraId="00000066">
            <w:pPr>
              <w:widowControl w:val="0"/>
              <w:numPr>
                <w:ilvl w:val="0"/>
                <w:numId w:val="32"/>
              </w:numPr>
              <w:spacing w:after="0" w:before="240" w:line="240" w:lineRule="auto"/>
              <w:ind w:left="720" w:hanging="360"/>
              <w:rPr/>
            </w:pPr>
            <w:r w:rsidDel="00000000" w:rsidR="00000000" w:rsidRPr="00000000">
              <w:rPr>
                <w:rtl w:val="0"/>
              </w:rPr>
              <w:t xml:space="preserve">Patients may experience vomiting, diarrhea, or abdominal pain; these symptoms should be managed with supportive care (e.g., antiemetics, laxatives).</w:t>
            </w:r>
          </w:p>
          <w:p w:rsidR="00000000" w:rsidDel="00000000" w:rsidP="00000000" w:rsidRDefault="00000000" w:rsidRPr="00000000" w14:paraId="00000067">
            <w:pPr>
              <w:widowControl w:val="0"/>
              <w:numPr>
                <w:ilvl w:val="0"/>
                <w:numId w:val="32"/>
              </w:numPr>
              <w:spacing w:after="240" w:before="0" w:line="240" w:lineRule="auto"/>
              <w:ind w:left="720" w:hanging="360"/>
              <w:rPr/>
            </w:pPr>
            <w:r w:rsidDel="00000000" w:rsidR="00000000" w:rsidRPr="00000000">
              <w:rPr>
                <w:rtl w:val="0"/>
              </w:rPr>
              <w:t xml:space="preserve">Patients may also experience confusion or altered mental status; these symptoms should be managed with supportive care (e.g., sedatives, cognitive support).</w:t>
            </w:r>
          </w:p>
          <w:p w:rsidR="00000000" w:rsidDel="00000000" w:rsidP="00000000" w:rsidRDefault="00000000" w:rsidRPr="00000000" w14:paraId="00000068">
            <w:pPr>
              <w:widowControl w:val="0"/>
              <w:spacing w:after="240" w:before="240" w:line="240" w:lineRule="auto"/>
              <w:rPr/>
            </w:pPr>
            <w:r w:rsidDel="00000000" w:rsidR="00000000" w:rsidRPr="00000000">
              <w:rPr>
                <w:rtl w:val="0"/>
              </w:rPr>
              <w:t xml:space="preserve">Note that this summary is limited to the provided text and may not include all aspects of DKA management.</w:t>
            </w:r>
          </w:p>
        </w:tc>
      </w:tr>
    </w:tbl>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1155cc"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color w:val="ffffff"/>
              </w:rPr>
            </w:pPr>
            <w:r w:rsidDel="00000000" w:rsidR="00000000" w:rsidRPr="00000000">
              <w:rPr>
                <w:b w:val="1"/>
                <w:color w:val="ffffff"/>
                <w:rtl w:val="0"/>
              </w:rPr>
              <w:t xml:space="preserve">Blockify Method Source Data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color w:val="1155cc"/>
                <w:sz w:val="28"/>
                <w:szCs w:val="28"/>
              </w:rPr>
            </w:pPr>
            <w:r w:rsidDel="00000000" w:rsidR="00000000" w:rsidRPr="00000000">
              <w:rPr>
                <w:color w:val="1155cc"/>
                <w:sz w:val="28"/>
                <w:szCs w:val="28"/>
                <w:rtl w:val="0"/>
              </w:rPr>
              <w:t xml:space="preserve">Diabetic Ketoacidosis (DKA)</w:t>
            </w:r>
          </w:p>
          <w:p w:rsidR="00000000" w:rsidDel="00000000" w:rsidP="00000000" w:rsidRDefault="00000000" w:rsidRPr="00000000" w14:paraId="0000006D">
            <w:pPr>
              <w:widowControl w:val="0"/>
              <w:spacing w:line="240" w:lineRule="auto"/>
              <w:rPr>
                <w:b w:val="1"/>
                <w:i w:val="1"/>
              </w:rPr>
            </w:pPr>
            <w:r w:rsidDel="00000000" w:rsidR="00000000" w:rsidRPr="00000000">
              <w:rPr>
                <w:b w:val="1"/>
                <w:i w:val="1"/>
                <w:rtl w:val="0"/>
              </w:rPr>
              <w:t xml:space="preserve">How should diabetic ketoacidosis be considered and managed in a clinical setting?</w:t>
            </w:r>
          </w:p>
          <w:p w:rsidR="00000000" w:rsidDel="00000000" w:rsidP="00000000" w:rsidRDefault="00000000" w:rsidRPr="00000000" w14:paraId="0000006E">
            <w:pPr>
              <w:widowControl w:val="0"/>
              <w:spacing w:line="240" w:lineRule="auto"/>
              <w:rPr/>
            </w:pPr>
            <w:r w:rsidDel="00000000" w:rsidR="00000000" w:rsidRPr="00000000">
              <w:rPr>
                <w:rtl w:val="0"/>
              </w:rPr>
              <w:t xml:space="preserve">DKA should be considered in any unconscious or hyperventilating patient. Prompt clinical examination and bedside tests can confirm the diagnosis, and immediate treatment with IV rehydration, insulin, and electrolyte replacement is essential.</w:t>
            </w:r>
          </w:p>
          <w:p w:rsidR="00000000" w:rsidDel="00000000" w:rsidP="00000000" w:rsidRDefault="00000000" w:rsidRPr="00000000" w14:paraId="0000006F">
            <w:pPr>
              <w:widowControl w:val="0"/>
              <w:spacing w:line="240" w:lineRule="auto"/>
              <w:rPr/>
            </w:pPr>
            <w:r w:rsidDel="00000000" w:rsidR="00000000" w:rsidRPr="00000000">
              <w:rPr>
                <w:rtl w:val="0"/>
              </w:rPr>
            </w:r>
          </w:p>
          <w:p w:rsidR="00000000" w:rsidDel="00000000" w:rsidP="00000000" w:rsidRDefault="00000000" w:rsidRPr="00000000" w14:paraId="00000070">
            <w:pPr>
              <w:widowControl w:val="0"/>
              <w:spacing w:line="240" w:lineRule="auto"/>
              <w:rPr>
                <w:color w:val="1155cc"/>
                <w:sz w:val="28"/>
                <w:szCs w:val="28"/>
              </w:rPr>
            </w:pPr>
            <w:r w:rsidDel="00000000" w:rsidR="00000000" w:rsidRPr="00000000">
              <w:rPr>
                <w:color w:val="1155cc"/>
                <w:sz w:val="28"/>
                <w:szCs w:val="28"/>
                <w:rtl w:val="0"/>
              </w:rPr>
              <w:t xml:space="preserve">DKA Bedside Monitoring</w:t>
            </w:r>
          </w:p>
          <w:p w:rsidR="00000000" w:rsidDel="00000000" w:rsidP="00000000" w:rsidRDefault="00000000" w:rsidRPr="00000000" w14:paraId="00000071">
            <w:pPr>
              <w:widowControl w:val="0"/>
              <w:spacing w:line="240" w:lineRule="auto"/>
              <w:rPr>
                <w:b w:val="1"/>
                <w:i w:val="1"/>
              </w:rPr>
            </w:pPr>
            <w:r w:rsidDel="00000000" w:rsidR="00000000" w:rsidRPr="00000000">
              <w:rPr>
                <w:b w:val="1"/>
                <w:i w:val="1"/>
                <w:rtl w:val="0"/>
              </w:rPr>
              <w:t xml:space="preserve">What bedside monitoring is recommended during DKA management?</w:t>
            </w:r>
          </w:p>
          <w:p w:rsidR="00000000" w:rsidDel="00000000" w:rsidP="00000000" w:rsidRDefault="00000000" w:rsidRPr="00000000" w14:paraId="00000072">
            <w:pPr>
              <w:widowControl w:val="0"/>
              <w:spacing w:line="240" w:lineRule="auto"/>
              <w:rPr/>
            </w:pPr>
            <w:r w:rsidDel="00000000" w:rsidR="00000000" w:rsidRPr="00000000">
              <w:rPr>
                <w:rtl w:val="0"/>
              </w:rPr>
              <w:t xml:space="preserve">Capillary blood glucose and ketone levels should be checked hourly to track the progression of ketosis and glucose control.</w:t>
            </w:r>
          </w:p>
          <w:p w:rsidR="00000000" w:rsidDel="00000000" w:rsidP="00000000" w:rsidRDefault="00000000" w:rsidRPr="00000000" w14:paraId="00000073">
            <w:pPr>
              <w:widowControl w:val="0"/>
              <w:spacing w:line="240" w:lineRule="auto"/>
              <w:rPr/>
            </w:pPr>
            <w:r w:rsidDel="00000000" w:rsidR="00000000" w:rsidRPr="00000000">
              <w:rPr>
                <w:rtl w:val="0"/>
              </w:rPr>
            </w:r>
          </w:p>
          <w:p w:rsidR="00000000" w:rsidDel="00000000" w:rsidP="00000000" w:rsidRDefault="00000000" w:rsidRPr="00000000" w14:paraId="00000074">
            <w:pPr>
              <w:widowControl w:val="0"/>
              <w:spacing w:line="240" w:lineRule="auto"/>
              <w:rPr>
                <w:color w:val="1155cc"/>
                <w:sz w:val="28"/>
                <w:szCs w:val="28"/>
              </w:rPr>
            </w:pPr>
            <w:r w:rsidDel="00000000" w:rsidR="00000000" w:rsidRPr="00000000">
              <w:rPr>
                <w:color w:val="1155cc"/>
                <w:sz w:val="28"/>
                <w:szCs w:val="28"/>
                <w:rtl w:val="0"/>
              </w:rPr>
              <w:t xml:space="preserve">Low-Level Ketonuria After Fasting</w:t>
            </w:r>
          </w:p>
          <w:p w:rsidR="00000000" w:rsidDel="00000000" w:rsidP="00000000" w:rsidRDefault="00000000" w:rsidRPr="00000000" w14:paraId="00000075">
            <w:pPr>
              <w:widowControl w:val="0"/>
              <w:spacing w:line="240" w:lineRule="auto"/>
              <w:rPr>
                <w:b w:val="1"/>
                <w:i w:val="1"/>
              </w:rPr>
            </w:pPr>
            <w:r w:rsidDel="00000000" w:rsidR="00000000" w:rsidRPr="00000000">
              <w:rPr>
                <w:b w:val="1"/>
                <w:i w:val="1"/>
                <w:rtl w:val="0"/>
              </w:rPr>
              <w:t xml:space="preserve">What does low-level ketonuria after fasting indicate?</w:t>
            </w:r>
          </w:p>
          <w:p w:rsidR="00000000" w:rsidDel="00000000" w:rsidP="00000000" w:rsidRDefault="00000000" w:rsidRPr="00000000" w14:paraId="00000076">
            <w:pPr>
              <w:widowControl w:val="0"/>
              <w:spacing w:line="240" w:lineRule="auto"/>
              <w:rPr/>
            </w:pPr>
            <w:r w:rsidDel="00000000" w:rsidR="00000000" w:rsidRPr="00000000">
              <w:rPr>
                <w:rtl w:val="0"/>
              </w:rPr>
              <w:t xml:space="preserve">Low-level ketonuria (‘+’) or blood ketones below 0.6 mmol/L can arise after a period of fasting, particularly in overweight patients, and does not necessarily indicate diabetic ketoacidosis. Occasional ketosis in type 2 diabetes may also appear during severe illness, such as major sepsis.</w:t>
            </w:r>
          </w:p>
          <w:p w:rsidR="00000000" w:rsidDel="00000000" w:rsidP="00000000" w:rsidRDefault="00000000" w:rsidRPr="00000000" w14:paraId="00000077">
            <w:pPr>
              <w:widowControl w:val="0"/>
              <w:spacing w:line="240" w:lineRule="auto"/>
              <w:rPr/>
            </w:pPr>
            <w:r w:rsidDel="00000000" w:rsidR="00000000" w:rsidRPr="00000000">
              <w:rPr>
                <w:rtl w:val="0"/>
              </w:rPr>
            </w:r>
          </w:p>
          <w:p w:rsidR="00000000" w:rsidDel="00000000" w:rsidP="00000000" w:rsidRDefault="00000000" w:rsidRPr="00000000" w14:paraId="00000078">
            <w:pPr>
              <w:widowControl w:val="0"/>
              <w:spacing w:line="240" w:lineRule="auto"/>
              <w:rPr>
                <w:color w:val="1155cc"/>
                <w:sz w:val="28"/>
                <w:szCs w:val="28"/>
              </w:rPr>
            </w:pPr>
            <w:r w:rsidDel="00000000" w:rsidR="00000000" w:rsidRPr="00000000">
              <w:rPr>
                <w:color w:val="1155cc"/>
                <w:sz w:val="28"/>
                <w:szCs w:val="28"/>
                <w:rtl w:val="0"/>
              </w:rPr>
              <w:t xml:space="preserve">Ketonuria and Monitoring</w:t>
            </w:r>
          </w:p>
          <w:p w:rsidR="00000000" w:rsidDel="00000000" w:rsidP="00000000" w:rsidRDefault="00000000" w:rsidRPr="00000000" w14:paraId="00000079">
            <w:pPr>
              <w:widowControl w:val="0"/>
              <w:spacing w:line="240" w:lineRule="auto"/>
              <w:rPr>
                <w:b w:val="1"/>
                <w:i w:val="1"/>
              </w:rPr>
            </w:pPr>
            <w:r w:rsidDel="00000000" w:rsidR="00000000" w:rsidRPr="00000000">
              <w:rPr>
                <w:b w:val="1"/>
                <w:i w:val="1"/>
                <w:rtl w:val="0"/>
              </w:rPr>
              <w:t xml:space="preserve">How is ketonuria detected and used in diabetes management?</w:t>
            </w:r>
          </w:p>
          <w:p w:rsidR="00000000" w:rsidDel="00000000" w:rsidP="00000000" w:rsidRDefault="00000000" w:rsidRPr="00000000" w14:paraId="0000007A">
            <w:pPr>
              <w:widowControl w:val="0"/>
              <w:spacing w:line="240" w:lineRule="auto"/>
              <w:rPr/>
            </w:pPr>
            <w:r w:rsidDel="00000000" w:rsidR="00000000" w:rsidRPr="00000000">
              <w:rPr>
                <w:rtl w:val="0"/>
              </w:rPr>
              <w:t xml:space="preserve">Semi-quantitative test strips for acetoacetate (such as Ketostix) are available for patients with type 1 diabetes mellitus but have largely been replaced by capillary blood testing for β-hydroxybutyrate. The appearance of ketones signals insulin deficiency, especially if hyperglycaemia is present, and may indicate impending diabetic ketoacidosis requiring urgent adjustment of insulin doses and medical evaluation.</w:t>
            </w:r>
          </w:p>
          <w:p w:rsidR="00000000" w:rsidDel="00000000" w:rsidP="00000000" w:rsidRDefault="00000000" w:rsidRPr="00000000" w14:paraId="0000007B">
            <w:pPr>
              <w:widowControl w:val="0"/>
              <w:spacing w:line="240" w:lineRule="auto"/>
              <w:rPr/>
            </w:pPr>
            <w:r w:rsidDel="00000000" w:rsidR="00000000" w:rsidRPr="00000000">
              <w:rPr>
                <w:rtl w:val="0"/>
              </w:rPr>
            </w:r>
          </w:p>
          <w:p w:rsidR="00000000" w:rsidDel="00000000" w:rsidP="00000000" w:rsidRDefault="00000000" w:rsidRPr="00000000" w14:paraId="0000007C">
            <w:pPr>
              <w:widowControl w:val="0"/>
              <w:spacing w:line="240" w:lineRule="auto"/>
              <w:rPr>
                <w:color w:val="1155cc"/>
                <w:sz w:val="28"/>
                <w:szCs w:val="28"/>
              </w:rPr>
            </w:pPr>
            <w:r w:rsidDel="00000000" w:rsidR="00000000" w:rsidRPr="00000000">
              <w:rPr>
                <w:color w:val="1155cc"/>
                <w:sz w:val="28"/>
                <w:szCs w:val="28"/>
                <w:rtl w:val="0"/>
              </w:rPr>
              <w:t xml:space="preserve">Final Steps and Discharge</w:t>
            </w:r>
          </w:p>
          <w:p w:rsidR="00000000" w:rsidDel="00000000" w:rsidP="00000000" w:rsidRDefault="00000000" w:rsidRPr="00000000" w14:paraId="0000007D">
            <w:pPr>
              <w:widowControl w:val="0"/>
              <w:spacing w:line="240" w:lineRule="auto"/>
              <w:rPr>
                <w:b w:val="1"/>
                <w:i w:val="1"/>
              </w:rPr>
            </w:pPr>
            <w:r w:rsidDel="00000000" w:rsidR="00000000" w:rsidRPr="00000000">
              <w:rPr>
                <w:b w:val="1"/>
                <w:i w:val="1"/>
                <w:rtl w:val="0"/>
              </w:rPr>
              <w:t xml:space="preserve">What are the final steps in the hypoglycaemia test and how is the patient discharged?</w:t>
            </w:r>
          </w:p>
          <w:p w:rsidR="00000000" w:rsidDel="00000000" w:rsidP="00000000" w:rsidRDefault="00000000" w:rsidRPr="00000000" w14:paraId="0000007E">
            <w:pPr>
              <w:widowControl w:val="0"/>
              <w:spacing w:line="240" w:lineRule="auto"/>
              <w:rPr/>
            </w:pPr>
            <w:r w:rsidDel="00000000" w:rsidR="00000000" w:rsidRPr="00000000">
              <w:rPr>
                <w:rtl w:val="0"/>
              </w:rPr>
              <w:t xml:space="preserve">At the end of the procedure, usually around 60 minutes, if the patient still has hypoglycaemic symptoms, give 25 mL of 50% dextrose intravenously. Then provide a meal containing complex carbohydrates and observe the patient for at least one hour before discharge with accompaniment.</w:t>
            </w:r>
          </w:p>
        </w:tc>
      </w:tr>
    </w:tbl>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1155cc"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b w:val="1"/>
                <w:color w:val="ffffff"/>
              </w:rPr>
            </w:pPr>
            <w:r w:rsidDel="00000000" w:rsidR="00000000" w:rsidRPr="00000000">
              <w:rPr>
                <w:b w:val="1"/>
                <w:color w:val="ffffff"/>
                <w:rtl w:val="0"/>
              </w:rPr>
              <w:t xml:space="preserve">Blockify Method LLM Response to User Query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240" w:before="240" w:line="240" w:lineRule="auto"/>
              <w:rPr/>
            </w:pPr>
            <w:r w:rsidDel="00000000" w:rsidR="00000000" w:rsidRPr="00000000">
              <w:rPr>
                <w:rtl w:val="0"/>
              </w:rPr>
              <w:t xml:space="preserve">Here's a summary of the initial management of Diabetic Ketoacidosis (DKA):</w:t>
            </w:r>
          </w:p>
          <w:p w:rsidR="00000000" w:rsidDel="00000000" w:rsidP="00000000" w:rsidRDefault="00000000" w:rsidRPr="00000000" w14:paraId="00000083">
            <w:pPr>
              <w:widowControl w:val="0"/>
              <w:spacing w:after="240" w:before="240" w:line="240" w:lineRule="auto"/>
              <w:rPr>
                <w:b w:val="1"/>
              </w:rPr>
            </w:pPr>
            <w:r w:rsidDel="00000000" w:rsidR="00000000" w:rsidRPr="00000000">
              <w:rPr>
                <w:b w:val="1"/>
                <w:rtl w:val="0"/>
              </w:rPr>
              <w:t xml:space="preserve">Initial Management:</w:t>
            </w:r>
          </w:p>
          <w:p w:rsidR="00000000" w:rsidDel="00000000" w:rsidP="00000000" w:rsidRDefault="00000000" w:rsidRPr="00000000" w14:paraId="00000084">
            <w:pPr>
              <w:widowControl w:val="0"/>
              <w:numPr>
                <w:ilvl w:val="0"/>
                <w:numId w:val="18"/>
              </w:numPr>
              <w:spacing w:after="0" w:before="240" w:line="240" w:lineRule="auto"/>
              <w:ind w:left="720" w:hanging="360"/>
              <w:rPr/>
            </w:pPr>
            <w:r w:rsidDel="00000000" w:rsidR="00000000" w:rsidRPr="00000000">
              <w:rPr>
                <w:b w:val="1"/>
                <w:rtl w:val="0"/>
              </w:rPr>
              <w:t xml:space="preserve">Prompt Clinical Examination and Bedside Tests</w:t>
            </w:r>
            <w:r w:rsidDel="00000000" w:rsidR="00000000" w:rsidRPr="00000000">
              <w:rPr>
                <w:rtl w:val="0"/>
              </w:rPr>
              <w:t xml:space="preserve">: Assess the patient's condition, and confirm the diagnosis of DKA through clinical examination and bedside tests.</w:t>
            </w:r>
          </w:p>
          <w:p w:rsidR="00000000" w:rsidDel="00000000" w:rsidP="00000000" w:rsidRDefault="00000000" w:rsidRPr="00000000" w14:paraId="00000085">
            <w:pPr>
              <w:widowControl w:val="0"/>
              <w:numPr>
                <w:ilvl w:val="0"/>
                <w:numId w:val="18"/>
              </w:numPr>
              <w:spacing w:after="240" w:before="0" w:line="240" w:lineRule="auto"/>
              <w:ind w:left="720" w:hanging="360"/>
              <w:rPr/>
            </w:pPr>
            <w:r w:rsidDel="00000000" w:rsidR="00000000" w:rsidRPr="00000000">
              <w:rPr>
                <w:b w:val="1"/>
                <w:rtl w:val="0"/>
              </w:rPr>
              <w:t xml:space="preserve">Immediate Treatment</w:t>
            </w:r>
            <w:r w:rsidDel="00000000" w:rsidR="00000000" w:rsidRPr="00000000">
              <w:rPr>
                <w:rtl w:val="0"/>
              </w:rPr>
              <w:t xml:space="preserve">: Administer IV rehydration, insulin, and electrolyte replacement to stabilize the patient's condition.</w:t>
            </w:r>
          </w:p>
          <w:p w:rsidR="00000000" w:rsidDel="00000000" w:rsidP="00000000" w:rsidRDefault="00000000" w:rsidRPr="00000000" w14:paraId="00000086">
            <w:pPr>
              <w:widowControl w:val="0"/>
              <w:spacing w:after="240" w:before="240" w:line="240" w:lineRule="auto"/>
              <w:rPr>
                <w:b w:val="1"/>
              </w:rPr>
            </w:pPr>
            <w:r w:rsidDel="00000000" w:rsidR="00000000" w:rsidRPr="00000000">
              <w:rPr>
                <w:b w:val="1"/>
                <w:rtl w:val="0"/>
              </w:rPr>
              <w:t xml:space="preserve">Bedside Monitoring:</w:t>
            </w:r>
          </w:p>
          <w:p w:rsidR="00000000" w:rsidDel="00000000" w:rsidP="00000000" w:rsidRDefault="00000000" w:rsidRPr="00000000" w14:paraId="00000087">
            <w:pPr>
              <w:widowControl w:val="0"/>
              <w:numPr>
                <w:ilvl w:val="0"/>
                <w:numId w:val="22"/>
              </w:numPr>
              <w:spacing w:after="240" w:before="240" w:line="240" w:lineRule="auto"/>
              <w:ind w:left="720" w:hanging="360"/>
              <w:rPr/>
            </w:pPr>
            <w:r w:rsidDel="00000000" w:rsidR="00000000" w:rsidRPr="00000000">
              <w:rPr>
                <w:b w:val="1"/>
                <w:rtl w:val="0"/>
              </w:rPr>
              <w:t xml:space="preserve">Capillary Blood Glucose and Ketone Levels</w:t>
            </w:r>
            <w:r w:rsidDel="00000000" w:rsidR="00000000" w:rsidRPr="00000000">
              <w:rPr>
                <w:rtl w:val="0"/>
              </w:rPr>
              <w:t xml:space="preserve">: Check hourly to track the progression of ketosis and glucose control.</w:t>
            </w:r>
          </w:p>
          <w:p w:rsidR="00000000" w:rsidDel="00000000" w:rsidP="00000000" w:rsidRDefault="00000000" w:rsidRPr="00000000" w14:paraId="00000088">
            <w:pPr>
              <w:widowControl w:val="0"/>
              <w:spacing w:after="240" w:before="240" w:line="240" w:lineRule="auto"/>
              <w:rPr>
                <w:b w:val="1"/>
              </w:rPr>
            </w:pPr>
            <w:r w:rsidDel="00000000" w:rsidR="00000000" w:rsidRPr="00000000">
              <w:rPr>
                <w:b w:val="1"/>
                <w:rtl w:val="0"/>
              </w:rPr>
              <w:t xml:space="preserve">Interpretation of Low-Level Ketonuria:</w:t>
            </w:r>
          </w:p>
          <w:p w:rsidR="00000000" w:rsidDel="00000000" w:rsidP="00000000" w:rsidRDefault="00000000" w:rsidRPr="00000000" w14:paraId="00000089">
            <w:pPr>
              <w:widowControl w:val="0"/>
              <w:numPr>
                <w:ilvl w:val="0"/>
                <w:numId w:val="10"/>
              </w:numPr>
              <w:spacing w:after="0" w:before="240" w:line="240" w:lineRule="auto"/>
              <w:ind w:left="720" w:hanging="360"/>
              <w:rPr/>
            </w:pPr>
            <w:r w:rsidDel="00000000" w:rsidR="00000000" w:rsidRPr="00000000">
              <w:rPr>
                <w:b w:val="1"/>
                <w:rtl w:val="0"/>
              </w:rPr>
              <w:t xml:space="preserve">Low-Level Ketonuria</w:t>
            </w:r>
            <w:r w:rsidDel="00000000" w:rsidR="00000000" w:rsidRPr="00000000">
              <w:rPr>
                <w:rtl w:val="0"/>
              </w:rPr>
              <w:t xml:space="preserve">: Does not necessarily indicate DKA, especially in overweight patients or those with type 2 diabetes who may experience occasional ketosis during severe illness.</w:t>
            </w:r>
          </w:p>
          <w:p w:rsidR="00000000" w:rsidDel="00000000" w:rsidP="00000000" w:rsidRDefault="00000000" w:rsidRPr="00000000" w14:paraId="0000008A">
            <w:pPr>
              <w:widowControl w:val="0"/>
              <w:numPr>
                <w:ilvl w:val="0"/>
                <w:numId w:val="10"/>
              </w:numPr>
              <w:spacing w:after="240" w:before="0" w:line="240" w:lineRule="auto"/>
              <w:ind w:left="720" w:hanging="360"/>
              <w:rPr/>
            </w:pPr>
            <w:r w:rsidDel="00000000" w:rsidR="00000000" w:rsidRPr="00000000">
              <w:rPr>
                <w:b w:val="1"/>
                <w:rtl w:val="0"/>
              </w:rPr>
              <w:t xml:space="preserve">Ketonuria Detection</w:t>
            </w:r>
            <w:r w:rsidDel="00000000" w:rsidR="00000000" w:rsidRPr="00000000">
              <w:rPr>
                <w:rtl w:val="0"/>
              </w:rPr>
              <w:t xml:space="preserve">: Use semi-quantitative test strips for acetoacetate (e.g., Ketostix) or capillary blood testing for β-hydroxybutyrate to detect ketones.</w:t>
            </w:r>
          </w:p>
          <w:p w:rsidR="00000000" w:rsidDel="00000000" w:rsidP="00000000" w:rsidRDefault="00000000" w:rsidRPr="00000000" w14:paraId="0000008B">
            <w:pPr>
              <w:widowControl w:val="0"/>
              <w:spacing w:after="240" w:before="240" w:line="240" w:lineRule="auto"/>
              <w:rPr>
                <w:b w:val="1"/>
              </w:rPr>
            </w:pPr>
            <w:r w:rsidDel="00000000" w:rsidR="00000000" w:rsidRPr="00000000">
              <w:rPr>
                <w:b w:val="1"/>
                <w:rtl w:val="0"/>
              </w:rPr>
              <w:t xml:space="preserve">Final Steps and Discharge:</w:t>
            </w:r>
          </w:p>
          <w:p w:rsidR="00000000" w:rsidDel="00000000" w:rsidP="00000000" w:rsidRDefault="00000000" w:rsidRPr="00000000" w14:paraId="0000008C">
            <w:pPr>
              <w:widowControl w:val="0"/>
              <w:numPr>
                <w:ilvl w:val="0"/>
                <w:numId w:val="29"/>
              </w:numPr>
              <w:spacing w:after="0" w:before="240" w:line="240" w:lineRule="auto"/>
              <w:ind w:left="720" w:hanging="360"/>
              <w:rPr/>
            </w:pPr>
            <w:r w:rsidDel="00000000" w:rsidR="00000000" w:rsidRPr="00000000">
              <w:rPr>
                <w:b w:val="1"/>
                <w:rtl w:val="0"/>
              </w:rPr>
              <w:t xml:space="preserve">Hypoglycaemia Test</w:t>
            </w:r>
            <w:r w:rsidDel="00000000" w:rsidR="00000000" w:rsidRPr="00000000">
              <w:rPr>
                <w:rtl w:val="0"/>
              </w:rPr>
              <w:t xml:space="preserve">: Administer 25 mL of 50% dextrose intravenously if the patient still has hypoglycaemic symptoms.</w:t>
            </w:r>
          </w:p>
          <w:p w:rsidR="00000000" w:rsidDel="00000000" w:rsidP="00000000" w:rsidRDefault="00000000" w:rsidRPr="00000000" w14:paraId="0000008D">
            <w:pPr>
              <w:widowControl w:val="0"/>
              <w:numPr>
                <w:ilvl w:val="0"/>
                <w:numId w:val="29"/>
              </w:numPr>
              <w:spacing w:after="240" w:before="0" w:line="240" w:lineRule="auto"/>
              <w:ind w:left="720" w:hanging="360"/>
              <w:rPr/>
            </w:pPr>
            <w:r w:rsidDel="00000000" w:rsidR="00000000" w:rsidRPr="00000000">
              <w:rPr>
                <w:b w:val="1"/>
                <w:rtl w:val="0"/>
              </w:rPr>
              <w:t xml:space="preserve">Meal and Observation</w:t>
            </w:r>
            <w:r w:rsidDel="00000000" w:rsidR="00000000" w:rsidRPr="00000000">
              <w:rPr>
                <w:rtl w:val="0"/>
              </w:rPr>
              <w:t xml:space="preserve">: Provide a meal containing complex carbohydrates and observe the patient for at least one hour before discharge with accompaniment.</w:t>
            </w:r>
          </w:p>
        </w:tc>
      </w:tr>
    </w:tbl>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pStyle w:val="Heading2"/>
        <w:rPr/>
      </w:pPr>
      <w:bookmarkStart w:colFirst="0" w:colLast="0" w:name="_heading=h.n58ye064jjpj" w:id="17"/>
      <w:bookmarkEnd w:id="17"/>
      <w:r w:rsidDel="00000000" w:rsidR="00000000" w:rsidRPr="00000000">
        <w:rPr>
          <w:rtl w:val="0"/>
        </w:rPr>
        <w:t xml:space="preserve">Analysis of the LLM Responses</w:t>
      </w:r>
    </w:p>
    <w:p w:rsidR="00000000" w:rsidDel="00000000" w:rsidP="00000000" w:rsidRDefault="00000000" w:rsidRPr="00000000" w14:paraId="00000090">
      <w:pPr>
        <w:ind w:left="0" w:firstLine="0"/>
        <w:rPr/>
      </w:pPr>
      <w:r w:rsidDel="00000000" w:rsidR="00000000" w:rsidRPr="00000000">
        <w:rPr>
          <w:rtl w:val="0"/>
        </w:rPr>
        <w:t xml:space="preserve">This section critically evaluates two different methodological approaches, "Chunking Method Response" and "Blockify Method Response," across several key aspects of a user query associated with diabetic ketoacidosis (DKA) management, including: fluid choice and protocol adherence, diagnostic and monitoring protocols, supportive care and discharge procedures, and overall factual and source fidelity. </w:t>
      </w:r>
    </w:p>
    <w:p w:rsidR="00000000" w:rsidDel="00000000" w:rsidP="00000000" w:rsidRDefault="00000000" w:rsidRPr="00000000" w14:paraId="00000091">
      <w:pPr>
        <w:ind w:left="0" w:firstLine="0"/>
        <w:rPr/>
      </w:pPr>
      <w:r w:rsidDel="00000000" w:rsidR="00000000" w:rsidRPr="00000000">
        <w:rPr>
          <w:rtl w:val="0"/>
        </w:rPr>
      </w:r>
    </w:p>
    <w:p w:rsidR="00000000" w:rsidDel="00000000" w:rsidP="00000000" w:rsidRDefault="00000000" w:rsidRPr="00000000" w14:paraId="00000092">
      <w:pPr>
        <w:ind w:left="0" w:firstLine="0"/>
        <w:rPr/>
      </w:pPr>
      <w:r w:rsidDel="00000000" w:rsidR="00000000" w:rsidRPr="00000000">
        <w:rPr>
          <w:rtl w:val="0"/>
        </w:rPr>
        <w:t xml:space="preserve">The analysis highlights significant differences in the safety, accuracy, and adherence to established medical guidelines between the two methods, particularly concerning initial fluid selection, monitoring modalities, and discharge criteria.</w:t>
      </w:r>
    </w:p>
    <w:p w:rsidR="00000000" w:rsidDel="00000000" w:rsidP="00000000" w:rsidRDefault="00000000" w:rsidRPr="00000000" w14:paraId="00000093">
      <w:pPr>
        <w:ind w:left="0" w:firstLine="0"/>
        <w:rPr/>
      </w:pPr>
      <w:r w:rsidDel="00000000" w:rsidR="00000000" w:rsidRPr="00000000">
        <w:rPr>
          <w:rtl w:val="0"/>
        </w:rPr>
      </w:r>
    </w:p>
    <w:p w:rsidR="00000000" w:rsidDel="00000000" w:rsidP="00000000" w:rsidRDefault="00000000" w:rsidRPr="00000000" w14:paraId="00000094">
      <w:pPr>
        <w:ind w:left="0" w:firstLine="0"/>
        <w:rPr/>
      </w:pPr>
      <w:r w:rsidDel="00000000" w:rsidR="00000000" w:rsidRPr="00000000">
        <w:rPr>
          <w:rtl w:val="0"/>
        </w:rPr>
        <w:t xml:space="preserve">The analysis finds that the Blockify Method is significantly more accurate and safer to guide clinicians reinforcing the 650% improvement finding.</w:t>
      </w:r>
    </w:p>
    <w:p w:rsidR="00000000" w:rsidDel="00000000" w:rsidP="00000000" w:rsidRDefault="00000000" w:rsidRPr="00000000" w14:paraId="00000095">
      <w:pPr>
        <w:pStyle w:val="Heading3"/>
        <w:rPr/>
      </w:pPr>
      <w:bookmarkStart w:colFirst="0" w:colLast="0" w:name="_heading=h.k0unt4dskoe8" w:id="18"/>
      <w:bookmarkEnd w:id="18"/>
      <w:r w:rsidDel="00000000" w:rsidR="00000000" w:rsidRPr="00000000">
        <w:rPr>
          <w:rtl w:val="0"/>
        </w:rPr>
        <w:t xml:space="preserve">Summary of the LLM’s Clinical Workflow and Patient Safety Analysis</w:t>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2.1782178217823"/>
        <w:gridCol w:w="3768.712871287129"/>
        <w:gridCol w:w="3479.108910891089"/>
        <w:tblGridChange w:id="0">
          <w:tblGrid>
            <w:gridCol w:w="2112.1782178217823"/>
            <w:gridCol w:w="3768.712871287129"/>
            <w:gridCol w:w="3479.108910891089"/>
          </w:tblGrid>
        </w:tblGridChange>
      </w:tblGrid>
      <w:tr>
        <w:trPr>
          <w:cantSplit w:val="0"/>
          <w:trHeight w:val="695" w:hRule="atLeast"/>
          <w:tblHeader w:val="0"/>
        </w:trPr>
        <w:tc>
          <w:tcPr>
            <w:tcBorders>
              <w:top w:color="212121" w:space="0" w:sz="4" w:val="single"/>
              <w:left w:color="212121" w:space="0" w:sz="4" w:val="single"/>
              <w:bottom w:color="212121" w:space="0" w:sz="4" w:val="single"/>
              <w:right w:color="212121" w:space="0" w:sz="4"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96">
            <w:pPr>
              <w:spacing w:line="240" w:lineRule="auto"/>
              <w:rPr>
                <w:b w:val="1"/>
                <w:color w:val="ffffff"/>
              </w:rPr>
            </w:pPr>
            <w:r w:rsidDel="00000000" w:rsidR="00000000" w:rsidRPr="00000000">
              <w:rPr>
                <w:rtl w:val="0"/>
              </w:rPr>
            </w:r>
          </w:p>
        </w:tc>
        <w:tc>
          <w:tcPr>
            <w:tcBorders>
              <w:top w:color="212121" w:space="0" w:sz="4" w:val="single"/>
              <w:left w:color="212121" w:space="0" w:sz="4" w:val="single"/>
              <w:bottom w:color="212121" w:space="0" w:sz="4" w:val="single"/>
              <w:right w:color="212121" w:space="0" w:sz="4"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97">
            <w:pPr>
              <w:spacing w:line="240" w:lineRule="auto"/>
              <w:rPr>
                <w:b w:val="1"/>
                <w:color w:val="ffffff"/>
              </w:rPr>
            </w:pPr>
            <w:r w:rsidDel="00000000" w:rsidR="00000000" w:rsidRPr="00000000">
              <w:rPr>
                <w:b w:val="1"/>
                <w:color w:val="ffffff"/>
                <w:rtl w:val="0"/>
              </w:rPr>
              <w:t xml:space="preserve">Chunking Method Response</w:t>
            </w:r>
          </w:p>
        </w:tc>
        <w:tc>
          <w:tcPr>
            <w:tcBorders>
              <w:top w:color="212121" w:space="0" w:sz="4" w:val="single"/>
              <w:left w:color="212121" w:space="0" w:sz="4" w:val="single"/>
              <w:bottom w:color="212121" w:space="0" w:sz="4" w:val="single"/>
              <w:right w:color="212121" w:space="0" w:sz="4"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98">
            <w:pPr>
              <w:spacing w:line="240" w:lineRule="auto"/>
              <w:rPr>
                <w:b w:val="1"/>
                <w:color w:val="ffffff"/>
              </w:rPr>
            </w:pPr>
            <w:r w:rsidDel="00000000" w:rsidR="00000000" w:rsidRPr="00000000">
              <w:rPr>
                <w:b w:val="1"/>
                <w:color w:val="ffffff"/>
                <w:rtl w:val="0"/>
              </w:rPr>
              <w:t xml:space="preserve">Blockify Method Response</w:t>
            </w:r>
          </w:p>
        </w:tc>
      </w:tr>
      <w:tr>
        <w:trPr>
          <w:cantSplit w:val="0"/>
          <w:trHeight w:val="695" w:hRule="atLeast"/>
          <w:tblHeader w:val="0"/>
        </w:trPr>
        <w:tc>
          <w:tcPr>
            <w:tcBorders>
              <w:top w:color="000000" w:space="0" w:sz="0" w:val="nil"/>
              <w:left w:color="212121" w:space="0" w:sz="4" w:val="single"/>
              <w:bottom w:color="212121"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9">
            <w:pPr>
              <w:spacing w:line="240" w:lineRule="auto"/>
              <w:rPr/>
            </w:pPr>
            <w:r w:rsidDel="00000000" w:rsidR="00000000" w:rsidRPr="00000000">
              <w:rPr>
                <w:rtl w:val="0"/>
              </w:rPr>
              <w:t xml:space="preserve">Initial fluids</w:t>
            </w:r>
          </w:p>
        </w:tc>
        <w:tc>
          <w:tcPr>
            <w:tcBorders>
              <w:top w:color="000000" w:space="0" w:sz="0" w:val="nil"/>
              <w:left w:color="212121" w:space="0" w:sz="4" w:val="single"/>
              <w:bottom w:color="212121"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A">
            <w:pPr>
              <w:spacing w:line="240" w:lineRule="auto"/>
              <w:rPr/>
            </w:pPr>
            <w:r w:rsidDel="00000000" w:rsidR="00000000" w:rsidRPr="00000000">
              <w:rPr>
                <w:rtl w:val="0"/>
              </w:rPr>
              <w:t xml:space="preserve">Explicitly recommends D5W (danger)</w:t>
            </w:r>
          </w:p>
        </w:tc>
        <w:tc>
          <w:tcPr>
            <w:tcBorders>
              <w:top w:color="000000" w:space="0" w:sz="0" w:val="nil"/>
              <w:left w:color="212121" w:space="0" w:sz="4" w:val="single"/>
              <w:bottom w:color="212121" w:space="0" w:sz="4" w:val="single"/>
              <w:right w:color="212121"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spacing w:line="240" w:lineRule="auto"/>
              <w:rPr/>
            </w:pPr>
            <w:r w:rsidDel="00000000" w:rsidR="00000000" w:rsidRPr="00000000">
              <w:rPr>
                <w:rtl w:val="0"/>
              </w:rPr>
              <w:t xml:space="preserve">Unspecified, but does not mislead</w:t>
            </w:r>
          </w:p>
        </w:tc>
      </w:tr>
      <w:tr>
        <w:trPr>
          <w:cantSplit w:val="0"/>
          <w:trHeight w:val="695" w:hRule="atLeast"/>
          <w:tblHeader w:val="0"/>
        </w:trPr>
        <w:tc>
          <w:tcPr>
            <w:tcBorders>
              <w:top w:color="000000" w:space="0" w:sz="0" w:val="nil"/>
              <w:left w:color="212121" w:space="0" w:sz="4" w:val="single"/>
              <w:bottom w:color="212121"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C">
            <w:pPr>
              <w:spacing w:line="240" w:lineRule="auto"/>
              <w:rPr/>
            </w:pPr>
            <w:r w:rsidDel="00000000" w:rsidR="00000000" w:rsidRPr="00000000">
              <w:rPr>
                <w:rtl w:val="0"/>
              </w:rPr>
              <w:t xml:space="preserve">Stepwise clarity</w:t>
            </w:r>
          </w:p>
        </w:tc>
        <w:tc>
          <w:tcPr>
            <w:tcBorders>
              <w:top w:color="000000" w:space="0" w:sz="0" w:val="nil"/>
              <w:left w:color="212121" w:space="0" w:sz="4" w:val="single"/>
              <w:bottom w:color="212121"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D">
            <w:pPr>
              <w:spacing w:line="240" w:lineRule="auto"/>
              <w:rPr/>
            </w:pPr>
            <w:r w:rsidDel="00000000" w:rsidR="00000000" w:rsidRPr="00000000">
              <w:rPr>
                <w:rtl w:val="0"/>
              </w:rPr>
              <w:t xml:space="preserve">Poor; risks protocol drift</w:t>
            </w:r>
          </w:p>
        </w:tc>
        <w:tc>
          <w:tcPr>
            <w:tcBorders>
              <w:top w:color="000000" w:space="0" w:sz="0" w:val="nil"/>
              <w:left w:color="212121" w:space="0" w:sz="4" w:val="single"/>
              <w:bottom w:color="212121" w:space="0" w:sz="4" w:val="single"/>
              <w:right w:color="212121"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spacing w:line="240" w:lineRule="auto"/>
              <w:rPr/>
            </w:pPr>
            <w:r w:rsidDel="00000000" w:rsidR="00000000" w:rsidRPr="00000000">
              <w:rPr>
                <w:rtl w:val="0"/>
              </w:rPr>
              <w:t xml:space="preserve">Somewhat vague, but less risky</w:t>
            </w:r>
          </w:p>
        </w:tc>
      </w:tr>
      <w:tr>
        <w:trPr>
          <w:cantSplit w:val="0"/>
          <w:trHeight w:val="695" w:hRule="atLeast"/>
          <w:tblHeader w:val="0"/>
        </w:trPr>
        <w:tc>
          <w:tcPr>
            <w:tcBorders>
              <w:top w:color="000000" w:space="0" w:sz="0" w:val="nil"/>
              <w:left w:color="212121" w:space="0" w:sz="4" w:val="single"/>
              <w:bottom w:color="212121"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F">
            <w:pPr>
              <w:spacing w:line="240" w:lineRule="auto"/>
              <w:rPr/>
            </w:pPr>
            <w:r w:rsidDel="00000000" w:rsidR="00000000" w:rsidRPr="00000000">
              <w:rPr>
                <w:rtl w:val="0"/>
              </w:rPr>
              <w:t xml:space="preserve">Ketone monitoring</w:t>
            </w:r>
          </w:p>
        </w:tc>
        <w:tc>
          <w:tcPr>
            <w:tcBorders>
              <w:top w:color="000000" w:space="0" w:sz="0" w:val="nil"/>
              <w:left w:color="212121" w:space="0" w:sz="4" w:val="single"/>
              <w:bottom w:color="212121"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0">
            <w:pPr>
              <w:spacing w:line="240" w:lineRule="auto"/>
              <w:rPr/>
            </w:pPr>
            <w:r w:rsidDel="00000000" w:rsidR="00000000" w:rsidRPr="00000000">
              <w:rPr>
                <w:rtl w:val="0"/>
              </w:rPr>
              <w:t xml:space="preserve">Basic, not fully current</w:t>
            </w:r>
          </w:p>
        </w:tc>
        <w:tc>
          <w:tcPr>
            <w:tcBorders>
              <w:top w:color="000000" w:space="0" w:sz="0" w:val="nil"/>
              <w:left w:color="212121" w:space="0" w:sz="4" w:val="single"/>
              <w:bottom w:color="212121" w:space="0" w:sz="4" w:val="single"/>
              <w:right w:color="212121"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spacing w:line="240" w:lineRule="auto"/>
              <w:rPr/>
            </w:pPr>
            <w:r w:rsidDel="00000000" w:rsidR="00000000" w:rsidRPr="00000000">
              <w:rPr>
                <w:rtl w:val="0"/>
              </w:rPr>
              <w:t xml:space="preserve">Aligned with current practice</w:t>
            </w:r>
          </w:p>
        </w:tc>
      </w:tr>
      <w:tr>
        <w:trPr>
          <w:cantSplit w:val="0"/>
          <w:trHeight w:val="695" w:hRule="atLeast"/>
          <w:tblHeader w:val="0"/>
        </w:trPr>
        <w:tc>
          <w:tcPr>
            <w:tcBorders>
              <w:top w:color="000000" w:space="0" w:sz="0" w:val="nil"/>
              <w:left w:color="212121" w:space="0" w:sz="4" w:val="single"/>
              <w:bottom w:color="212121"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2">
            <w:pPr>
              <w:spacing w:line="240" w:lineRule="auto"/>
              <w:rPr/>
            </w:pPr>
            <w:r w:rsidDel="00000000" w:rsidR="00000000" w:rsidRPr="00000000">
              <w:rPr>
                <w:rtl w:val="0"/>
              </w:rPr>
              <w:t xml:space="preserve">Discharge steps</w:t>
            </w:r>
          </w:p>
        </w:tc>
        <w:tc>
          <w:tcPr>
            <w:tcBorders>
              <w:top w:color="000000" w:space="0" w:sz="0" w:val="nil"/>
              <w:left w:color="212121" w:space="0" w:sz="4" w:val="single"/>
              <w:bottom w:color="212121"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3">
            <w:pPr>
              <w:spacing w:line="240" w:lineRule="auto"/>
              <w:rPr/>
            </w:pPr>
            <w:r w:rsidDel="00000000" w:rsidR="00000000" w:rsidRPr="00000000">
              <w:rPr>
                <w:rtl w:val="0"/>
              </w:rPr>
              <w:t xml:space="preserve">Not clearly specified or limited</w:t>
            </w:r>
          </w:p>
        </w:tc>
        <w:tc>
          <w:tcPr>
            <w:tcBorders>
              <w:top w:color="000000" w:space="0" w:sz="0" w:val="nil"/>
              <w:left w:color="212121" w:space="0" w:sz="4" w:val="single"/>
              <w:bottom w:color="212121" w:space="0" w:sz="4" w:val="single"/>
              <w:right w:color="212121"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spacing w:line="240" w:lineRule="auto"/>
              <w:rPr/>
            </w:pPr>
            <w:r w:rsidDel="00000000" w:rsidR="00000000" w:rsidRPr="00000000">
              <w:rPr>
                <w:rtl w:val="0"/>
              </w:rPr>
              <w:t xml:space="preserve">Explicit, but risks premature use</w:t>
            </w:r>
          </w:p>
        </w:tc>
      </w:tr>
      <w:tr>
        <w:trPr>
          <w:cantSplit w:val="0"/>
          <w:trHeight w:val="695" w:hRule="atLeast"/>
          <w:tblHeader w:val="0"/>
        </w:trPr>
        <w:tc>
          <w:tcPr>
            <w:tcBorders>
              <w:top w:color="000000" w:space="0" w:sz="0" w:val="nil"/>
              <w:left w:color="212121" w:space="0" w:sz="4" w:val="single"/>
              <w:bottom w:color="212121"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5">
            <w:pPr>
              <w:spacing w:line="240" w:lineRule="auto"/>
              <w:rPr/>
            </w:pPr>
            <w:r w:rsidDel="00000000" w:rsidR="00000000" w:rsidRPr="00000000">
              <w:rPr>
                <w:rtl w:val="0"/>
              </w:rPr>
              <w:t xml:space="preserve">Overt errors</w:t>
            </w:r>
          </w:p>
        </w:tc>
        <w:tc>
          <w:tcPr>
            <w:tcBorders>
              <w:top w:color="000000" w:space="0" w:sz="0" w:val="nil"/>
              <w:left w:color="212121" w:space="0" w:sz="4" w:val="single"/>
              <w:bottom w:color="212121"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6">
            <w:pPr>
              <w:spacing w:line="240" w:lineRule="auto"/>
              <w:rPr/>
            </w:pPr>
            <w:r w:rsidDel="00000000" w:rsidR="00000000" w:rsidRPr="00000000">
              <w:rPr>
                <w:rtl w:val="0"/>
              </w:rPr>
              <w:t xml:space="preserve">Yes (critical, with D5W)</w:t>
            </w:r>
          </w:p>
        </w:tc>
        <w:tc>
          <w:tcPr>
            <w:tcBorders>
              <w:top w:color="000000" w:space="0" w:sz="0" w:val="nil"/>
              <w:left w:color="212121" w:space="0" w:sz="4" w:val="single"/>
              <w:bottom w:color="212121" w:space="0" w:sz="4" w:val="single"/>
              <w:right w:color="212121"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spacing w:line="240" w:lineRule="auto"/>
              <w:rPr/>
            </w:pPr>
            <w:r w:rsidDel="00000000" w:rsidR="00000000" w:rsidRPr="00000000">
              <w:rPr>
                <w:rtl w:val="0"/>
              </w:rPr>
              <w:t xml:space="preserve">No, but some incompleteness</w:t>
            </w:r>
          </w:p>
        </w:tc>
      </w:tr>
    </w:tbl>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ind w:left="0" w:firstLine="0"/>
        <w:rPr/>
      </w:pPr>
      <w:r w:rsidDel="00000000" w:rsidR="00000000" w:rsidRPr="00000000">
        <w:rPr>
          <w:rtl w:val="0"/>
        </w:rPr>
        <w:t xml:space="preserve">The full output from both RAG methods is shown in full side by side to allow the reader to compare and contrast:</w:t>
      </w:r>
    </w:p>
    <w:p w:rsidR="00000000" w:rsidDel="00000000" w:rsidP="00000000" w:rsidRDefault="00000000" w:rsidRPr="00000000" w14:paraId="000000AA">
      <w:pPr>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1155cc"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b w:val="1"/>
                <w:color w:val="ffffff"/>
              </w:rPr>
            </w:pPr>
            <w:r w:rsidDel="00000000" w:rsidR="00000000" w:rsidRPr="00000000">
              <w:rPr>
                <w:b w:val="1"/>
                <w:color w:val="ffffff"/>
                <w:rtl w:val="0"/>
              </w:rPr>
              <w:t xml:space="preserve">Chunking Method</w:t>
            </w:r>
          </w:p>
        </w:tc>
        <w:tc>
          <w:tcPr>
            <w:shd w:fill="1155cc"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b w:val="1"/>
                <w:color w:val="ffffff"/>
              </w:rPr>
            </w:pPr>
            <w:r w:rsidDel="00000000" w:rsidR="00000000" w:rsidRPr="00000000">
              <w:rPr>
                <w:b w:val="1"/>
                <w:color w:val="ffffff"/>
                <w:rtl w:val="0"/>
              </w:rPr>
              <w:t xml:space="preserve">Blockify Method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after="240" w:before="240" w:line="240" w:lineRule="auto"/>
              <w:rPr/>
            </w:pPr>
            <w:r w:rsidDel="00000000" w:rsidR="00000000" w:rsidRPr="00000000">
              <w:rPr>
                <w:rtl w:val="0"/>
              </w:rPr>
              <w:t xml:space="preserve">Here is a summary of the initial management of diabetic ketoacidosis (DKA), excluding heart-related topics:</w:t>
            </w:r>
          </w:p>
          <w:p w:rsidR="00000000" w:rsidDel="00000000" w:rsidP="00000000" w:rsidRDefault="00000000" w:rsidRPr="00000000" w14:paraId="000000AE">
            <w:pPr>
              <w:widowControl w:val="0"/>
              <w:spacing w:after="240" w:before="240" w:line="240" w:lineRule="auto"/>
              <w:rPr>
                <w:b w:val="1"/>
              </w:rPr>
            </w:pPr>
            <w:r w:rsidDel="00000000" w:rsidR="00000000" w:rsidRPr="00000000">
              <w:rPr>
                <w:b w:val="1"/>
                <w:rtl w:val="0"/>
              </w:rPr>
              <w:t xml:space="preserve">Diagnosis</w:t>
            </w:r>
          </w:p>
          <w:p w:rsidR="00000000" w:rsidDel="00000000" w:rsidP="00000000" w:rsidRDefault="00000000" w:rsidRPr="00000000" w14:paraId="000000AF">
            <w:pPr>
              <w:widowControl w:val="0"/>
              <w:numPr>
                <w:ilvl w:val="0"/>
                <w:numId w:val="4"/>
              </w:numPr>
              <w:spacing w:after="0" w:before="240" w:line="240" w:lineRule="auto"/>
              <w:ind w:left="720" w:hanging="360"/>
              <w:rPr/>
            </w:pPr>
            <w:r w:rsidDel="00000000" w:rsidR="00000000" w:rsidRPr="00000000">
              <w:rPr>
                <w:rtl w:val="0"/>
              </w:rPr>
              <w:t xml:space="preserve">DKA is diagnosed based on the presence of hyperglycemia, metabolic acidosis, and ketosis.</w:t>
            </w:r>
          </w:p>
          <w:p w:rsidR="00000000" w:rsidDel="00000000" w:rsidP="00000000" w:rsidRDefault="00000000" w:rsidRPr="00000000" w14:paraId="000000B0">
            <w:pPr>
              <w:widowControl w:val="0"/>
              <w:numPr>
                <w:ilvl w:val="0"/>
                <w:numId w:val="4"/>
              </w:numPr>
              <w:spacing w:after="240" w:before="0" w:line="240" w:lineRule="auto"/>
              <w:ind w:left="720" w:hanging="360"/>
              <w:rPr/>
            </w:pPr>
            <w:r w:rsidDel="00000000" w:rsidR="00000000" w:rsidRPr="00000000">
              <w:rPr>
                <w:rtl w:val="0"/>
              </w:rPr>
              <w:t xml:space="preserve">Urine ketone testing is used to confirm ketosis.</w:t>
            </w:r>
          </w:p>
          <w:p w:rsidR="00000000" w:rsidDel="00000000" w:rsidP="00000000" w:rsidRDefault="00000000" w:rsidRPr="00000000" w14:paraId="000000B1">
            <w:pPr>
              <w:widowControl w:val="0"/>
              <w:spacing w:after="240" w:before="240" w:line="240" w:lineRule="auto"/>
              <w:rPr>
                <w:b w:val="1"/>
              </w:rPr>
            </w:pPr>
            <w:r w:rsidDel="00000000" w:rsidR="00000000" w:rsidRPr="00000000">
              <w:rPr>
                <w:b w:val="1"/>
                <w:rtl w:val="0"/>
              </w:rPr>
              <w:t xml:space="preserve">Initial Management</w:t>
            </w:r>
          </w:p>
          <w:p w:rsidR="00000000" w:rsidDel="00000000" w:rsidP="00000000" w:rsidRDefault="00000000" w:rsidRPr="00000000" w14:paraId="000000B2">
            <w:pPr>
              <w:widowControl w:val="0"/>
              <w:numPr>
                <w:ilvl w:val="0"/>
                <w:numId w:val="7"/>
              </w:numPr>
              <w:spacing w:after="0" w:before="240" w:line="240" w:lineRule="auto"/>
              <w:ind w:left="720" w:hanging="360"/>
              <w:rPr/>
            </w:pPr>
            <w:r w:rsidDel="00000000" w:rsidR="00000000" w:rsidRPr="00000000">
              <w:rPr>
                <w:rtl w:val="0"/>
              </w:rPr>
              <w:t xml:space="preserve">Intravenous fluids (e.g., saline </w:t>
            </w:r>
            <w:r w:rsidDel="00000000" w:rsidR="00000000" w:rsidRPr="00000000">
              <w:rPr>
                <w:shd w:fill="e06666" w:val="clear"/>
                <w:rtl w:val="0"/>
              </w:rPr>
              <w:t xml:space="preserve">or D5W)</w:t>
            </w:r>
            <w:r w:rsidDel="00000000" w:rsidR="00000000" w:rsidRPr="00000000">
              <w:rPr>
                <w:rtl w:val="0"/>
              </w:rPr>
              <w:t xml:space="preserve"> are administered to correct dehydration and electrolyte imbalances.</w:t>
            </w:r>
          </w:p>
          <w:p w:rsidR="00000000" w:rsidDel="00000000" w:rsidP="00000000" w:rsidRDefault="00000000" w:rsidRPr="00000000" w14:paraId="000000B3">
            <w:pPr>
              <w:widowControl w:val="0"/>
              <w:numPr>
                <w:ilvl w:val="0"/>
                <w:numId w:val="7"/>
              </w:numPr>
              <w:spacing w:after="0" w:before="0" w:line="240" w:lineRule="auto"/>
              <w:ind w:left="720" w:hanging="360"/>
              <w:rPr/>
            </w:pPr>
            <w:r w:rsidDel="00000000" w:rsidR="00000000" w:rsidRPr="00000000">
              <w:rPr>
                <w:rtl w:val="0"/>
              </w:rPr>
              <w:t xml:space="preserve">Insulin therapy is initiated to control blood glucose levels.</w:t>
            </w:r>
          </w:p>
          <w:p w:rsidR="00000000" w:rsidDel="00000000" w:rsidP="00000000" w:rsidRDefault="00000000" w:rsidRPr="00000000" w14:paraId="000000B4">
            <w:pPr>
              <w:widowControl w:val="0"/>
              <w:numPr>
                <w:ilvl w:val="0"/>
                <w:numId w:val="7"/>
              </w:numPr>
              <w:spacing w:after="0" w:before="0" w:line="240" w:lineRule="auto"/>
              <w:ind w:left="720" w:hanging="360"/>
              <w:rPr/>
            </w:pPr>
            <w:r w:rsidDel="00000000" w:rsidR="00000000" w:rsidRPr="00000000">
              <w:rPr>
                <w:rtl w:val="0"/>
              </w:rPr>
              <w:t xml:space="preserve">Potassium supplements may be given to prevent hypokalemia.</w:t>
            </w:r>
          </w:p>
          <w:p w:rsidR="00000000" w:rsidDel="00000000" w:rsidP="00000000" w:rsidRDefault="00000000" w:rsidRPr="00000000" w14:paraId="000000B5">
            <w:pPr>
              <w:widowControl w:val="0"/>
              <w:numPr>
                <w:ilvl w:val="0"/>
                <w:numId w:val="7"/>
              </w:numPr>
              <w:spacing w:after="240" w:before="0" w:line="240" w:lineRule="auto"/>
              <w:ind w:left="720" w:hanging="360"/>
              <w:rPr/>
            </w:pPr>
            <w:r w:rsidDel="00000000" w:rsidR="00000000" w:rsidRPr="00000000">
              <w:rPr>
                <w:rtl w:val="0"/>
              </w:rPr>
              <w:t xml:space="preserve">Electrolyte levels (e.g., sodium, chloride, and bicarbonate) are monitored and adjusted as needed.</w:t>
            </w:r>
          </w:p>
          <w:p w:rsidR="00000000" w:rsidDel="00000000" w:rsidP="00000000" w:rsidRDefault="00000000" w:rsidRPr="00000000" w14:paraId="000000B6">
            <w:pPr>
              <w:widowControl w:val="0"/>
              <w:spacing w:after="240" w:before="240" w:line="240" w:lineRule="auto"/>
              <w:rPr>
                <w:b w:val="1"/>
              </w:rPr>
            </w:pPr>
            <w:r w:rsidDel="00000000" w:rsidR="00000000" w:rsidRPr="00000000">
              <w:rPr>
                <w:b w:val="1"/>
                <w:rtl w:val="0"/>
              </w:rPr>
              <w:t xml:space="preserve">Monitoring</w:t>
            </w:r>
          </w:p>
          <w:p w:rsidR="00000000" w:rsidDel="00000000" w:rsidP="00000000" w:rsidRDefault="00000000" w:rsidRPr="00000000" w14:paraId="000000B7">
            <w:pPr>
              <w:widowControl w:val="0"/>
              <w:numPr>
                <w:ilvl w:val="0"/>
                <w:numId w:val="11"/>
              </w:numPr>
              <w:spacing w:after="0" w:before="240" w:line="240" w:lineRule="auto"/>
              <w:ind w:left="720" w:hanging="360"/>
              <w:rPr/>
            </w:pPr>
            <w:r w:rsidDel="00000000" w:rsidR="00000000" w:rsidRPr="00000000">
              <w:rPr>
                <w:rtl w:val="0"/>
              </w:rPr>
              <w:t xml:space="preserve">Blood glucose levels are monitored frequently to guide insulin therapy.</w:t>
            </w:r>
          </w:p>
          <w:p w:rsidR="00000000" w:rsidDel="00000000" w:rsidP="00000000" w:rsidRDefault="00000000" w:rsidRPr="00000000" w14:paraId="000000B8">
            <w:pPr>
              <w:widowControl w:val="0"/>
              <w:numPr>
                <w:ilvl w:val="0"/>
                <w:numId w:val="11"/>
              </w:numPr>
              <w:spacing w:after="0" w:before="0" w:line="240" w:lineRule="auto"/>
              <w:ind w:left="720" w:hanging="360"/>
              <w:rPr/>
            </w:pPr>
            <w:r w:rsidDel="00000000" w:rsidR="00000000" w:rsidRPr="00000000">
              <w:rPr>
                <w:rtl w:val="0"/>
              </w:rPr>
              <w:t xml:space="preserve">Urine ketone testing is repeated to monitor ketosis.</w:t>
            </w:r>
          </w:p>
          <w:p w:rsidR="00000000" w:rsidDel="00000000" w:rsidP="00000000" w:rsidRDefault="00000000" w:rsidRPr="00000000" w14:paraId="000000B9">
            <w:pPr>
              <w:widowControl w:val="0"/>
              <w:numPr>
                <w:ilvl w:val="0"/>
                <w:numId w:val="11"/>
              </w:numPr>
              <w:spacing w:after="240" w:before="0" w:line="240" w:lineRule="auto"/>
              <w:ind w:left="720" w:hanging="360"/>
              <w:rPr/>
            </w:pPr>
            <w:r w:rsidDel="00000000" w:rsidR="00000000" w:rsidRPr="00000000">
              <w:rPr>
                <w:rtl w:val="0"/>
              </w:rPr>
              <w:t xml:space="preserve">Electrolyte levels are monitored regularly to prevent imbalances.</w:t>
            </w:r>
          </w:p>
          <w:p w:rsidR="00000000" w:rsidDel="00000000" w:rsidP="00000000" w:rsidRDefault="00000000" w:rsidRPr="00000000" w14:paraId="000000BA">
            <w:pPr>
              <w:widowControl w:val="0"/>
              <w:spacing w:after="240" w:before="240" w:line="240" w:lineRule="auto"/>
              <w:rPr>
                <w:b w:val="1"/>
                <w:shd w:fill="ea9999" w:val="clear"/>
              </w:rPr>
            </w:pPr>
            <w:r w:rsidDel="00000000" w:rsidR="00000000" w:rsidRPr="00000000">
              <w:rPr>
                <w:b w:val="1"/>
                <w:shd w:fill="ea9999" w:val="clear"/>
                <w:rtl w:val="0"/>
              </w:rPr>
              <w:t xml:space="preserve">Supportive Care</w:t>
            </w:r>
          </w:p>
          <w:p w:rsidR="00000000" w:rsidDel="00000000" w:rsidP="00000000" w:rsidRDefault="00000000" w:rsidRPr="00000000" w14:paraId="000000BB">
            <w:pPr>
              <w:widowControl w:val="0"/>
              <w:numPr>
                <w:ilvl w:val="0"/>
                <w:numId w:val="32"/>
              </w:numPr>
              <w:spacing w:after="0" w:before="240" w:line="240" w:lineRule="auto"/>
              <w:ind w:left="720" w:hanging="360"/>
              <w:rPr>
                <w:shd w:fill="ea9999" w:val="clear"/>
              </w:rPr>
            </w:pPr>
            <w:r w:rsidDel="00000000" w:rsidR="00000000" w:rsidRPr="00000000">
              <w:rPr>
                <w:shd w:fill="ea9999" w:val="clear"/>
                <w:rtl w:val="0"/>
              </w:rPr>
              <w:t xml:space="preserve">Patients may experience vomiting, diarrhea, or abdominal pain; these symptoms should be managed with supportive care (e.g., antiemetics, laxatives).</w:t>
            </w:r>
          </w:p>
          <w:p w:rsidR="00000000" w:rsidDel="00000000" w:rsidP="00000000" w:rsidRDefault="00000000" w:rsidRPr="00000000" w14:paraId="000000BC">
            <w:pPr>
              <w:widowControl w:val="0"/>
              <w:numPr>
                <w:ilvl w:val="0"/>
                <w:numId w:val="32"/>
              </w:numPr>
              <w:spacing w:after="240" w:before="0" w:line="240" w:lineRule="auto"/>
              <w:ind w:left="720" w:hanging="360"/>
              <w:rPr>
                <w:shd w:fill="ea9999" w:val="clear"/>
              </w:rPr>
            </w:pPr>
            <w:r w:rsidDel="00000000" w:rsidR="00000000" w:rsidRPr="00000000">
              <w:rPr>
                <w:shd w:fill="ea9999" w:val="clear"/>
                <w:rtl w:val="0"/>
              </w:rPr>
              <w:t xml:space="preserve">Patients may also experience confusion or altered mental status; these symptoms should be managed with supportive care (e.g., sedatives, cognitive support).</w:t>
            </w:r>
          </w:p>
          <w:p w:rsidR="00000000" w:rsidDel="00000000" w:rsidP="00000000" w:rsidRDefault="00000000" w:rsidRPr="00000000" w14:paraId="000000BD">
            <w:pPr>
              <w:widowControl w:val="0"/>
              <w:spacing w:after="240" w:before="240" w:line="240" w:lineRule="auto"/>
              <w:rPr/>
            </w:pPr>
            <w:r w:rsidDel="00000000" w:rsidR="00000000" w:rsidRPr="00000000">
              <w:rPr>
                <w:rtl w:val="0"/>
              </w:rPr>
              <w:t xml:space="preserve">Note that this summary is limited to the provided text and may not include all aspects of DKA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240" w:before="240" w:line="240" w:lineRule="auto"/>
              <w:rPr/>
            </w:pPr>
            <w:r w:rsidDel="00000000" w:rsidR="00000000" w:rsidRPr="00000000">
              <w:rPr>
                <w:rtl w:val="0"/>
              </w:rPr>
              <w:t xml:space="preserve">Here's a summary of the initial management of Diabetic Ketoacidosis (DKA):</w:t>
            </w:r>
          </w:p>
          <w:p w:rsidR="00000000" w:rsidDel="00000000" w:rsidP="00000000" w:rsidRDefault="00000000" w:rsidRPr="00000000" w14:paraId="000000BF">
            <w:pPr>
              <w:widowControl w:val="0"/>
              <w:spacing w:after="240" w:before="240" w:line="240" w:lineRule="auto"/>
              <w:rPr>
                <w:b w:val="1"/>
              </w:rPr>
            </w:pPr>
            <w:r w:rsidDel="00000000" w:rsidR="00000000" w:rsidRPr="00000000">
              <w:rPr>
                <w:b w:val="1"/>
                <w:rtl w:val="0"/>
              </w:rPr>
              <w:t xml:space="preserve">Initial Management:</w:t>
            </w:r>
          </w:p>
          <w:p w:rsidR="00000000" w:rsidDel="00000000" w:rsidP="00000000" w:rsidRDefault="00000000" w:rsidRPr="00000000" w14:paraId="000000C0">
            <w:pPr>
              <w:widowControl w:val="0"/>
              <w:numPr>
                <w:ilvl w:val="0"/>
                <w:numId w:val="18"/>
              </w:numPr>
              <w:spacing w:after="0" w:before="240" w:line="240" w:lineRule="auto"/>
              <w:ind w:left="720" w:hanging="360"/>
              <w:rPr/>
            </w:pPr>
            <w:r w:rsidDel="00000000" w:rsidR="00000000" w:rsidRPr="00000000">
              <w:rPr>
                <w:b w:val="1"/>
                <w:rtl w:val="0"/>
              </w:rPr>
              <w:t xml:space="preserve">Prompt Clinical Examination and Bedside Tests</w:t>
            </w:r>
            <w:r w:rsidDel="00000000" w:rsidR="00000000" w:rsidRPr="00000000">
              <w:rPr>
                <w:rtl w:val="0"/>
              </w:rPr>
              <w:t xml:space="preserve">: Assess the patient's condition, and confirm the diagnosis of DKA through clinical examination and bedside tests.</w:t>
            </w:r>
          </w:p>
          <w:p w:rsidR="00000000" w:rsidDel="00000000" w:rsidP="00000000" w:rsidRDefault="00000000" w:rsidRPr="00000000" w14:paraId="000000C1">
            <w:pPr>
              <w:widowControl w:val="0"/>
              <w:numPr>
                <w:ilvl w:val="0"/>
                <w:numId w:val="18"/>
              </w:numPr>
              <w:spacing w:after="240" w:before="0" w:line="240" w:lineRule="auto"/>
              <w:ind w:left="720" w:hanging="360"/>
              <w:rPr/>
            </w:pPr>
            <w:r w:rsidDel="00000000" w:rsidR="00000000" w:rsidRPr="00000000">
              <w:rPr>
                <w:b w:val="1"/>
                <w:rtl w:val="0"/>
              </w:rPr>
              <w:t xml:space="preserve">Immediate Treatment</w:t>
            </w:r>
            <w:r w:rsidDel="00000000" w:rsidR="00000000" w:rsidRPr="00000000">
              <w:rPr>
                <w:rtl w:val="0"/>
              </w:rPr>
              <w:t xml:space="preserve">: Administer IV rehydration, insulin, and electrolyte replacement to stabilize the patient's condition.</w:t>
            </w:r>
          </w:p>
          <w:p w:rsidR="00000000" w:rsidDel="00000000" w:rsidP="00000000" w:rsidRDefault="00000000" w:rsidRPr="00000000" w14:paraId="000000C2">
            <w:pPr>
              <w:widowControl w:val="0"/>
              <w:spacing w:after="240" w:before="240" w:line="240" w:lineRule="auto"/>
              <w:rPr>
                <w:b w:val="1"/>
              </w:rPr>
            </w:pPr>
            <w:r w:rsidDel="00000000" w:rsidR="00000000" w:rsidRPr="00000000">
              <w:rPr>
                <w:b w:val="1"/>
                <w:rtl w:val="0"/>
              </w:rPr>
              <w:t xml:space="preserve">Bedside Monitoring:</w:t>
            </w:r>
          </w:p>
          <w:p w:rsidR="00000000" w:rsidDel="00000000" w:rsidP="00000000" w:rsidRDefault="00000000" w:rsidRPr="00000000" w14:paraId="000000C3">
            <w:pPr>
              <w:widowControl w:val="0"/>
              <w:numPr>
                <w:ilvl w:val="0"/>
                <w:numId w:val="22"/>
              </w:numPr>
              <w:spacing w:after="240" w:before="240" w:line="240" w:lineRule="auto"/>
              <w:ind w:left="720" w:hanging="360"/>
              <w:rPr/>
            </w:pPr>
            <w:r w:rsidDel="00000000" w:rsidR="00000000" w:rsidRPr="00000000">
              <w:rPr>
                <w:b w:val="1"/>
                <w:rtl w:val="0"/>
              </w:rPr>
              <w:t xml:space="preserve">Capillary Blood Glucose and Ketone Levels</w:t>
            </w:r>
            <w:r w:rsidDel="00000000" w:rsidR="00000000" w:rsidRPr="00000000">
              <w:rPr>
                <w:rtl w:val="0"/>
              </w:rPr>
              <w:t xml:space="preserve">: Check hourly to track the progression of ketosis and glucose control.</w:t>
            </w:r>
          </w:p>
          <w:p w:rsidR="00000000" w:rsidDel="00000000" w:rsidP="00000000" w:rsidRDefault="00000000" w:rsidRPr="00000000" w14:paraId="000000C4">
            <w:pPr>
              <w:widowControl w:val="0"/>
              <w:spacing w:after="240" w:before="240" w:line="240" w:lineRule="auto"/>
              <w:rPr>
                <w:b w:val="1"/>
              </w:rPr>
            </w:pPr>
            <w:r w:rsidDel="00000000" w:rsidR="00000000" w:rsidRPr="00000000">
              <w:rPr>
                <w:b w:val="1"/>
                <w:rtl w:val="0"/>
              </w:rPr>
              <w:t xml:space="preserve">Interpretation of Low-Level Ketonuria:</w:t>
            </w:r>
          </w:p>
          <w:p w:rsidR="00000000" w:rsidDel="00000000" w:rsidP="00000000" w:rsidRDefault="00000000" w:rsidRPr="00000000" w14:paraId="000000C5">
            <w:pPr>
              <w:widowControl w:val="0"/>
              <w:numPr>
                <w:ilvl w:val="0"/>
                <w:numId w:val="10"/>
              </w:numPr>
              <w:spacing w:after="0" w:before="240" w:line="240" w:lineRule="auto"/>
              <w:ind w:left="720" w:hanging="360"/>
              <w:rPr/>
            </w:pPr>
            <w:r w:rsidDel="00000000" w:rsidR="00000000" w:rsidRPr="00000000">
              <w:rPr>
                <w:b w:val="1"/>
                <w:rtl w:val="0"/>
              </w:rPr>
              <w:t xml:space="preserve">Low-Level Ketonuria</w:t>
            </w:r>
            <w:r w:rsidDel="00000000" w:rsidR="00000000" w:rsidRPr="00000000">
              <w:rPr>
                <w:rtl w:val="0"/>
              </w:rPr>
              <w:t xml:space="preserve">: Does not necessarily indicate DKA, especially in overweight patients or those with type 2 diabetes who may experience occasional ketosis during severe illness.</w:t>
            </w:r>
          </w:p>
          <w:p w:rsidR="00000000" w:rsidDel="00000000" w:rsidP="00000000" w:rsidRDefault="00000000" w:rsidRPr="00000000" w14:paraId="000000C6">
            <w:pPr>
              <w:widowControl w:val="0"/>
              <w:numPr>
                <w:ilvl w:val="0"/>
                <w:numId w:val="10"/>
              </w:numPr>
              <w:spacing w:after="240" w:before="0" w:line="240" w:lineRule="auto"/>
              <w:ind w:left="720" w:hanging="360"/>
              <w:rPr/>
            </w:pPr>
            <w:r w:rsidDel="00000000" w:rsidR="00000000" w:rsidRPr="00000000">
              <w:rPr>
                <w:b w:val="1"/>
                <w:rtl w:val="0"/>
              </w:rPr>
              <w:t xml:space="preserve">Ketonuria Detection</w:t>
            </w:r>
            <w:r w:rsidDel="00000000" w:rsidR="00000000" w:rsidRPr="00000000">
              <w:rPr>
                <w:rtl w:val="0"/>
              </w:rPr>
              <w:t xml:space="preserve">: Use semi-quantitative test strips for acetoacetate (e.g., Ketostix) or capillary blood testing for β-hydroxybutyrate to detect ketones.</w:t>
            </w:r>
          </w:p>
          <w:p w:rsidR="00000000" w:rsidDel="00000000" w:rsidP="00000000" w:rsidRDefault="00000000" w:rsidRPr="00000000" w14:paraId="000000C7">
            <w:pPr>
              <w:widowControl w:val="0"/>
              <w:spacing w:after="240" w:before="240" w:line="240" w:lineRule="auto"/>
              <w:rPr>
                <w:b w:val="1"/>
              </w:rPr>
            </w:pPr>
            <w:r w:rsidDel="00000000" w:rsidR="00000000" w:rsidRPr="00000000">
              <w:rPr>
                <w:b w:val="1"/>
                <w:rtl w:val="0"/>
              </w:rPr>
              <w:t xml:space="preserve">Final Steps and Discharge:</w:t>
            </w:r>
          </w:p>
          <w:p w:rsidR="00000000" w:rsidDel="00000000" w:rsidP="00000000" w:rsidRDefault="00000000" w:rsidRPr="00000000" w14:paraId="000000C8">
            <w:pPr>
              <w:widowControl w:val="0"/>
              <w:numPr>
                <w:ilvl w:val="0"/>
                <w:numId w:val="29"/>
              </w:numPr>
              <w:spacing w:after="0" w:before="240" w:line="240" w:lineRule="auto"/>
              <w:ind w:left="720" w:hanging="360"/>
              <w:rPr/>
            </w:pPr>
            <w:r w:rsidDel="00000000" w:rsidR="00000000" w:rsidRPr="00000000">
              <w:rPr>
                <w:b w:val="1"/>
                <w:rtl w:val="0"/>
              </w:rPr>
              <w:t xml:space="preserve">Hypoglycaemia Test</w:t>
            </w:r>
            <w:r w:rsidDel="00000000" w:rsidR="00000000" w:rsidRPr="00000000">
              <w:rPr>
                <w:rtl w:val="0"/>
              </w:rPr>
              <w:t xml:space="preserve">: Administer 25 mL of 50% dextrose intravenously if the patient still has hypoglycaemic symptoms.</w:t>
            </w:r>
          </w:p>
          <w:p w:rsidR="00000000" w:rsidDel="00000000" w:rsidP="00000000" w:rsidRDefault="00000000" w:rsidRPr="00000000" w14:paraId="000000C9">
            <w:pPr>
              <w:widowControl w:val="0"/>
              <w:numPr>
                <w:ilvl w:val="0"/>
                <w:numId w:val="29"/>
              </w:numPr>
              <w:spacing w:after="240" w:before="0" w:line="240" w:lineRule="auto"/>
              <w:ind w:left="720" w:hanging="360"/>
              <w:rPr/>
            </w:pPr>
            <w:r w:rsidDel="00000000" w:rsidR="00000000" w:rsidRPr="00000000">
              <w:rPr>
                <w:b w:val="1"/>
                <w:rtl w:val="0"/>
              </w:rPr>
              <w:t xml:space="preserve">Meal and Observation</w:t>
            </w:r>
            <w:r w:rsidDel="00000000" w:rsidR="00000000" w:rsidRPr="00000000">
              <w:rPr>
                <w:rtl w:val="0"/>
              </w:rPr>
              <w:t xml:space="preserve">: Provide a meal containing complex carbohydrates and observe the patient for at least one hour before discharge with accompaniment.</w:t>
            </w:r>
          </w:p>
        </w:tc>
      </w:tr>
    </w:tbl>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Next we will examine two medical LLM responses for fluid resuscitation, diagnostic protocols, and supportive care instructions, as well as their overall factual and source fidelity. </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Through comparative analysis, we identify areas where ambiguous or erroneous recommendations can introduce significant clinical risks, such as early inappropriate use of D5W or underemphasis of accurate electrolyte and ketone monitoring. </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By highlighting these protocol deviations and their potential consequences, this whitepaper underscores the importance of clear, guideline-concordant instructional frameworks for DKA management and suggests specific improvements to enhance teaching fidelity and patient care.</w:t>
      </w:r>
    </w:p>
    <w:p w:rsidR="00000000" w:rsidDel="00000000" w:rsidP="00000000" w:rsidRDefault="00000000" w:rsidRPr="00000000" w14:paraId="000000D0">
      <w:pPr>
        <w:pStyle w:val="Heading3"/>
        <w:rPr/>
      </w:pPr>
      <w:bookmarkStart w:colFirst="0" w:colLast="0" w:name="_heading=h.umsojd4nngy6" w:id="19"/>
      <w:bookmarkEnd w:id="19"/>
      <w:r w:rsidDel="00000000" w:rsidR="00000000" w:rsidRPr="00000000">
        <w:rPr>
          <w:rtl w:val="0"/>
        </w:rPr>
        <w:t xml:space="preserve">1. Fluid Choice and Stepwise Protocol Fidelity</w:t>
      </w:r>
    </w:p>
    <w:p w:rsidR="00000000" w:rsidDel="00000000" w:rsidP="00000000" w:rsidRDefault="00000000" w:rsidRPr="00000000" w14:paraId="000000D1">
      <w:pPr>
        <w:pStyle w:val="Heading4"/>
        <w:rPr/>
      </w:pPr>
      <w:bookmarkStart w:colFirst="0" w:colLast="0" w:name="_heading=h.wgibg7w85h4a" w:id="20"/>
      <w:bookmarkEnd w:id="20"/>
      <w:r w:rsidDel="00000000" w:rsidR="00000000" w:rsidRPr="00000000">
        <w:rPr>
          <w:rtl w:val="0"/>
        </w:rPr>
        <w:t xml:space="preserve">A. Chunking Method Response</w:t>
      </w:r>
    </w:p>
    <w:p w:rsidR="00000000" w:rsidDel="00000000" w:rsidP="00000000" w:rsidRDefault="00000000" w:rsidRPr="00000000" w14:paraId="000000D2">
      <w:pPr>
        <w:numPr>
          <w:ilvl w:val="0"/>
          <w:numId w:val="23"/>
        </w:numPr>
        <w:ind w:left="720" w:hanging="360"/>
        <w:rPr>
          <w:u w:val="none"/>
        </w:rPr>
      </w:pPr>
      <w:r w:rsidDel="00000000" w:rsidR="00000000" w:rsidRPr="00000000">
        <w:rPr>
          <w:rtl w:val="0"/>
        </w:rPr>
        <w:t xml:space="preserve">Problematic Guidance:</w:t>
      </w:r>
      <w:r w:rsidDel="00000000" w:rsidR="00000000" w:rsidRPr="00000000">
        <w:rPr>
          <w:rtl w:val="0"/>
        </w:rPr>
      </w:r>
    </w:p>
    <w:p w:rsidR="00000000" w:rsidDel="00000000" w:rsidP="00000000" w:rsidRDefault="00000000" w:rsidRPr="00000000" w14:paraId="000000D3">
      <w:pPr>
        <w:numPr>
          <w:ilvl w:val="1"/>
          <w:numId w:val="23"/>
        </w:numPr>
        <w:ind w:left="1440" w:hanging="360"/>
        <w:rPr>
          <w:u w:val="none"/>
        </w:rPr>
      </w:pPr>
      <w:r w:rsidDel="00000000" w:rsidR="00000000" w:rsidRPr="00000000">
        <w:rPr>
          <w:rtl w:val="0"/>
        </w:rPr>
        <w:t xml:space="preserve">States “IV fluids (e.g., saline or D5W)” as interchangeable initial fluids for correction of dehydration in DKA.</w:t>
      </w:r>
      <w:r w:rsidDel="00000000" w:rsidR="00000000" w:rsidRPr="00000000">
        <w:rPr>
          <w:rtl w:val="0"/>
        </w:rPr>
      </w:r>
    </w:p>
    <w:p w:rsidR="00000000" w:rsidDel="00000000" w:rsidP="00000000" w:rsidRDefault="00000000" w:rsidRPr="00000000" w14:paraId="000000D4">
      <w:pPr>
        <w:numPr>
          <w:ilvl w:val="1"/>
          <w:numId w:val="23"/>
        </w:numPr>
        <w:ind w:left="1440" w:hanging="360"/>
        <w:rPr>
          <w:u w:val="none"/>
        </w:rPr>
      </w:pPr>
      <w:r w:rsidDel="00000000" w:rsidR="00000000" w:rsidRPr="00000000">
        <w:rPr>
          <w:rtl w:val="0"/>
        </w:rPr>
        <w:t xml:space="preserve">Fails to clarify D5W’s limited role only after enough glucose lowering, risking inappropriate early administration.</w:t>
      </w:r>
      <w:r w:rsidDel="00000000" w:rsidR="00000000" w:rsidRPr="00000000">
        <w:rPr>
          <w:rtl w:val="0"/>
        </w:rPr>
      </w:r>
    </w:p>
    <w:p w:rsidR="00000000" w:rsidDel="00000000" w:rsidP="00000000" w:rsidRDefault="00000000" w:rsidRPr="00000000" w14:paraId="000000D5">
      <w:pPr>
        <w:numPr>
          <w:ilvl w:val="0"/>
          <w:numId w:val="23"/>
        </w:numPr>
        <w:ind w:left="720" w:hanging="360"/>
        <w:rPr>
          <w:u w:val="none"/>
        </w:rPr>
      </w:pPr>
      <w:r w:rsidDel="00000000" w:rsidR="00000000" w:rsidRPr="00000000">
        <w:rPr>
          <w:rtl w:val="0"/>
        </w:rPr>
        <w:t xml:space="preserve">Risk Implications:</w:t>
      </w:r>
      <w:r w:rsidDel="00000000" w:rsidR="00000000" w:rsidRPr="00000000">
        <w:rPr>
          <w:rtl w:val="0"/>
        </w:rPr>
      </w:r>
    </w:p>
    <w:p w:rsidR="00000000" w:rsidDel="00000000" w:rsidP="00000000" w:rsidRDefault="00000000" w:rsidRPr="00000000" w14:paraId="000000D6">
      <w:pPr>
        <w:numPr>
          <w:ilvl w:val="1"/>
          <w:numId w:val="23"/>
        </w:numPr>
        <w:ind w:left="1440" w:hanging="360"/>
        <w:rPr>
          <w:u w:val="none"/>
        </w:rPr>
      </w:pPr>
      <w:r w:rsidDel="00000000" w:rsidR="00000000" w:rsidRPr="00000000">
        <w:rPr>
          <w:rtl w:val="0"/>
        </w:rPr>
        <w:t xml:space="preserve">Clinicians may choose D5W too early—dangerously prolonging acidosis, worsening hyperglycemia, or inadequately resuscitating the patient.</w:t>
      </w:r>
      <w:r w:rsidDel="00000000" w:rsidR="00000000" w:rsidRPr="00000000">
        <w:rPr>
          <w:rtl w:val="0"/>
        </w:rPr>
      </w:r>
    </w:p>
    <w:p w:rsidR="00000000" w:rsidDel="00000000" w:rsidP="00000000" w:rsidRDefault="00000000" w:rsidRPr="00000000" w14:paraId="000000D7">
      <w:pPr>
        <w:numPr>
          <w:ilvl w:val="1"/>
          <w:numId w:val="23"/>
        </w:numPr>
        <w:ind w:left="1440" w:hanging="360"/>
        <w:rPr>
          <w:u w:val="none"/>
        </w:rPr>
      </w:pPr>
      <w:r w:rsidDel="00000000" w:rsidR="00000000" w:rsidRPr="00000000">
        <w:rPr>
          <w:rtl w:val="0"/>
        </w:rPr>
        <w:t xml:space="preserve">Direct contradiction of international protocols (ADA, Oxford, UpToDate), resulting in clear source fidelity failure.</w:t>
      </w:r>
      <w:r w:rsidDel="00000000" w:rsidR="00000000" w:rsidRPr="00000000">
        <w:rPr>
          <w:rtl w:val="0"/>
        </w:rPr>
      </w:r>
    </w:p>
    <w:p w:rsidR="00000000" w:rsidDel="00000000" w:rsidP="00000000" w:rsidRDefault="00000000" w:rsidRPr="00000000" w14:paraId="000000D8">
      <w:pPr>
        <w:pStyle w:val="Heading4"/>
        <w:rPr/>
      </w:pPr>
      <w:bookmarkStart w:colFirst="0" w:colLast="0" w:name="_heading=h.rzk0cdvruuw3" w:id="21"/>
      <w:bookmarkEnd w:id="21"/>
      <w:r w:rsidDel="00000000" w:rsidR="00000000" w:rsidRPr="00000000">
        <w:rPr>
          <w:rtl w:val="0"/>
        </w:rPr>
        <w:t xml:space="preserve">B. Blockify Method Response</w:t>
      </w:r>
    </w:p>
    <w:p w:rsidR="00000000" w:rsidDel="00000000" w:rsidP="00000000" w:rsidRDefault="00000000" w:rsidRPr="00000000" w14:paraId="000000D9">
      <w:pPr>
        <w:numPr>
          <w:ilvl w:val="0"/>
          <w:numId w:val="19"/>
        </w:numPr>
        <w:ind w:left="720" w:hanging="360"/>
        <w:rPr>
          <w:u w:val="none"/>
        </w:rPr>
      </w:pPr>
      <w:r w:rsidDel="00000000" w:rsidR="00000000" w:rsidRPr="00000000">
        <w:rPr>
          <w:rtl w:val="0"/>
        </w:rPr>
        <w:t xml:space="preserve">Improved Approach:</w:t>
      </w:r>
      <w:r w:rsidDel="00000000" w:rsidR="00000000" w:rsidRPr="00000000">
        <w:rPr>
          <w:rtl w:val="0"/>
        </w:rPr>
      </w:r>
    </w:p>
    <w:p w:rsidR="00000000" w:rsidDel="00000000" w:rsidP="00000000" w:rsidRDefault="00000000" w:rsidRPr="00000000" w14:paraId="000000DA">
      <w:pPr>
        <w:numPr>
          <w:ilvl w:val="1"/>
          <w:numId w:val="19"/>
        </w:numPr>
        <w:ind w:left="1440" w:hanging="360"/>
        <w:rPr>
          <w:u w:val="none"/>
        </w:rPr>
      </w:pPr>
      <w:r w:rsidDel="00000000" w:rsidR="00000000" w:rsidRPr="00000000">
        <w:rPr>
          <w:rtl w:val="0"/>
        </w:rPr>
        <w:t xml:space="preserve">States only “IV rehydration” but does not specify D5W, saline, or other fluids.</w:t>
      </w:r>
      <w:r w:rsidDel="00000000" w:rsidR="00000000" w:rsidRPr="00000000">
        <w:rPr>
          <w:rtl w:val="0"/>
        </w:rPr>
      </w:r>
    </w:p>
    <w:p w:rsidR="00000000" w:rsidDel="00000000" w:rsidP="00000000" w:rsidRDefault="00000000" w:rsidRPr="00000000" w14:paraId="000000DB">
      <w:pPr>
        <w:numPr>
          <w:ilvl w:val="1"/>
          <w:numId w:val="19"/>
        </w:numPr>
        <w:ind w:left="1440" w:hanging="360"/>
        <w:rPr>
          <w:u w:val="none"/>
        </w:rPr>
      </w:pPr>
      <w:r w:rsidDel="00000000" w:rsidR="00000000" w:rsidRPr="00000000">
        <w:rPr>
          <w:rtl w:val="0"/>
        </w:rPr>
        <w:t xml:space="preserve">Stresses “immediate treatment” with IV fluids, insulin, and electrolytes without introducing fluid-type errors.</w:t>
      </w:r>
      <w:r w:rsidDel="00000000" w:rsidR="00000000" w:rsidRPr="00000000">
        <w:rPr>
          <w:rtl w:val="0"/>
        </w:rPr>
      </w:r>
    </w:p>
    <w:p w:rsidR="00000000" w:rsidDel="00000000" w:rsidP="00000000" w:rsidRDefault="00000000" w:rsidRPr="00000000" w14:paraId="000000DC">
      <w:pPr>
        <w:numPr>
          <w:ilvl w:val="0"/>
          <w:numId w:val="19"/>
        </w:numPr>
        <w:ind w:left="720" w:hanging="360"/>
        <w:rPr>
          <w:u w:val="none"/>
        </w:rPr>
      </w:pPr>
      <w:r w:rsidDel="00000000" w:rsidR="00000000" w:rsidRPr="00000000">
        <w:rPr>
          <w:rtl w:val="0"/>
        </w:rPr>
        <w:t xml:space="preserve">Risk Implications:</w:t>
      </w:r>
      <w:r w:rsidDel="00000000" w:rsidR="00000000" w:rsidRPr="00000000">
        <w:rPr>
          <w:rtl w:val="0"/>
        </w:rPr>
      </w:r>
    </w:p>
    <w:p w:rsidR="00000000" w:rsidDel="00000000" w:rsidP="00000000" w:rsidRDefault="00000000" w:rsidRPr="00000000" w14:paraId="000000DD">
      <w:pPr>
        <w:numPr>
          <w:ilvl w:val="1"/>
          <w:numId w:val="19"/>
        </w:numPr>
        <w:ind w:left="1440" w:hanging="360"/>
        <w:rPr>
          <w:u w:val="none"/>
        </w:rPr>
      </w:pPr>
      <w:r w:rsidDel="00000000" w:rsidR="00000000" w:rsidRPr="00000000">
        <w:rPr>
          <w:rtl w:val="0"/>
        </w:rPr>
        <w:t xml:space="preserve">Lacks specificity, so some risk of under-detailed guidance remains, but does not mislead about D5W as an initial choice.</w:t>
      </w:r>
      <w:r w:rsidDel="00000000" w:rsidR="00000000" w:rsidRPr="00000000">
        <w:rPr>
          <w:rtl w:val="0"/>
        </w:rPr>
      </w:r>
    </w:p>
    <w:p w:rsidR="00000000" w:rsidDel="00000000" w:rsidP="00000000" w:rsidRDefault="00000000" w:rsidRPr="00000000" w14:paraId="000000DE">
      <w:pPr>
        <w:numPr>
          <w:ilvl w:val="1"/>
          <w:numId w:val="19"/>
        </w:numPr>
        <w:ind w:left="1440" w:hanging="360"/>
        <w:rPr>
          <w:u w:val="none"/>
        </w:rPr>
      </w:pPr>
      <w:r w:rsidDel="00000000" w:rsidR="00000000" w:rsidRPr="00000000">
        <w:rPr>
          <w:rtl w:val="0"/>
        </w:rPr>
        <w:t xml:space="preserve">Safer and less likely to cause immediate harm if interpreted by a reasonably knowledgeable clinician.</w:t>
      </w:r>
      <w:r w:rsidDel="00000000" w:rsidR="00000000" w:rsidRPr="00000000">
        <w:rPr>
          <w:rtl w:val="0"/>
        </w:rPr>
      </w:r>
    </w:p>
    <w:p w:rsidR="00000000" w:rsidDel="00000000" w:rsidP="00000000" w:rsidRDefault="00000000" w:rsidRPr="00000000" w14:paraId="000000DF">
      <w:pPr>
        <w:numPr>
          <w:ilvl w:val="1"/>
          <w:numId w:val="19"/>
        </w:numPr>
        <w:ind w:left="1440" w:hanging="360"/>
        <w:rPr>
          <w:u w:val="none"/>
        </w:rPr>
      </w:pPr>
      <w:r w:rsidDel="00000000" w:rsidR="00000000" w:rsidRPr="00000000">
        <w:rPr>
          <w:rtl w:val="0"/>
        </w:rPr>
        <w:t xml:space="preserve">Would benefit from explicitly mentioning “isotonic saline,” but avoids direct guideline-contradiction.</w:t>
      </w:r>
      <w:r w:rsidDel="00000000" w:rsidR="00000000" w:rsidRPr="00000000">
        <w:rPr>
          <w:rtl w:val="0"/>
        </w:rPr>
      </w:r>
    </w:p>
    <w:p w:rsidR="00000000" w:rsidDel="00000000" w:rsidP="00000000" w:rsidRDefault="00000000" w:rsidRPr="00000000" w14:paraId="000000E0">
      <w:pPr>
        <w:pStyle w:val="Heading3"/>
        <w:rPr/>
      </w:pPr>
      <w:bookmarkStart w:colFirst="0" w:colLast="0" w:name="_heading=h.2lcvv2gf6ra" w:id="22"/>
      <w:bookmarkEnd w:id="22"/>
      <w:r w:rsidDel="00000000" w:rsidR="00000000" w:rsidRPr="00000000">
        <w:rPr>
          <w:rtl w:val="0"/>
        </w:rPr>
        <w:t xml:space="preserve">2. Diagnostic and Monitoring Protocols</w:t>
      </w:r>
    </w:p>
    <w:p w:rsidR="00000000" w:rsidDel="00000000" w:rsidP="00000000" w:rsidRDefault="00000000" w:rsidRPr="00000000" w14:paraId="000000E1">
      <w:pPr>
        <w:pStyle w:val="Heading4"/>
        <w:rPr/>
      </w:pPr>
      <w:bookmarkStart w:colFirst="0" w:colLast="0" w:name="_heading=h.jeo1yn1alhwq" w:id="23"/>
      <w:bookmarkEnd w:id="23"/>
      <w:r w:rsidDel="00000000" w:rsidR="00000000" w:rsidRPr="00000000">
        <w:rPr>
          <w:rtl w:val="0"/>
        </w:rPr>
        <w:t xml:space="preserve">A. Chunking Method Response</w:t>
      </w:r>
    </w:p>
    <w:p w:rsidR="00000000" w:rsidDel="00000000" w:rsidP="00000000" w:rsidRDefault="00000000" w:rsidRPr="00000000" w14:paraId="000000E2">
      <w:pPr>
        <w:numPr>
          <w:ilvl w:val="0"/>
          <w:numId w:val="16"/>
        </w:numPr>
        <w:ind w:left="720" w:hanging="360"/>
        <w:rPr>
          <w:u w:val="none"/>
        </w:rPr>
      </w:pPr>
      <w:r w:rsidDel="00000000" w:rsidR="00000000" w:rsidRPr="00000000">
        <w:rPr>
          <w:rtl w:val="0"/>
        </w:rPr>
        <w:t xml:space="preserve">Analysis</w:t>
      </w:r>
      <w:r w:rsidDel="00000000" w:rsidR="00000000" w:rsidRPr="00000000">
        <w:rPr>
          <w:rtl w:val="0"/>
        </w:rPr>
      </w:r>
    </w:p>
    <w:p w:rsidR="00000000" w:rsidDel="00000000" w:rsidP="00000000" w:rsidRDefault="00000000" w:rsidRPr="00000000" w14:paraId="000000E3">
      <w:pPr>
        <w:numPr>
          <w:ilvl w:val="1"/>
          <w:numId w:val="16"/>
        </w:numPr>
        <w:ind w:left="1440" w:hanging="360"/>
        <w:rPr>
          <w:u w:val="none"/>
        </w:rPr>
      </w:pPr>
      <w:r w:rsidDel="00000000" w:rsidR="00000000" w:rsidRPr="00000000">
        <w:rPr>
          <w:rtl w:val="0"/>
        </w:rPr>
        <w:t xml:space="preserve">Monitoring Section: Focuses on glucose and urine ketones. (Urine ketone monitoring is less sensitive than capillary β-hydroxybutyrate measurement.)</w:t>
      </w:r>
      <w:r w:rsidDel="00000000" w:rsidR="00000000" w:rsidRPr="00000000">
        <w:rPr>
          <w:rtl w:val="0"/>
        </w:rPr>
      </w:r>
    </w:p>
    <w:p w:rsidR="00000000" w:rsidDel="00000000" w:rsidP="00000000" w:rsidRDefault="00000000" w:rsidRPr="00000000" w14:paraId="000000E4">
      <w:pPr>
        <w:numPr>
          <w:ilvl w:val="1"/>
          <w:numId w:val="16"/>
        </w:numPr>
        <w:ind w:left="1440" w:hanging="360"/>
        <w:rPr>
          <w:u w:val="none"/>
        </w:rPr>
      </w:pPr>
      <w:r w:rsidDel="00000000" w:rsidR="00000000" w:rsidRPr="00000000">
        <w:rPr>
          <w:rtl w:val="0"/>
        </w:rPr>
        <w:t xml:space="preserve">Electrolytes: Monitoring and supplementation covered but not prioritized by timing or severity.</w:t>
      </w:r>
      <w:r w:rsidDel="00000000" w:rsidR="00000000" w:rsidRPr="00000000">
        <w:rPr>
          <w:rtl w:val="0"/>
        </w:rPr>
      </w:r>
    </w:p>
    <w:p w:rsidR="00000000" w:rsidDel="00000000" w:rsidP="00000000" w:rsidRDefault="00000000" w:rsidRPr="00000000" w14:paraId="000000E5">
      <w:pPr>
        <w:numPr>
          <w:ilvl w:val="0"/>
          <w:numId w:val="16"/>
        </w:numPr>
        <w:ind w:left="720" w:hanging="360"/>
        <w:rPr>
          <w:u w:val="none"/>
        </w:rPr>
      </w:pPr>
      <w:r w:rsidDel="00000000" w:rsidR="00000000" w:rsidRPr="00000000">
        <w:rPr>
          <w:rtl w:val="0"/>
        </w:rPr>
        <w:t xml:space="preserve">Risk</w:t>
      </w:r>
      <w:r w:rsidDel="00000000" w:rsidR="00000000" w:rsidRPr="00000000">
        <w:rPr>
          <w:rtl w:val="0"/>
        </w:rPr>
      </w:r>
    </w:p>
    <w:p w:rsidR="00000000" w:rsidDel="00000000" w:rsidP="00000000" w:rsidRDefault="00000000" w:rsidRPr="00000000" w14:paraId="000000E6">
      <w:pPr>
        <w:numPr>
          <w:ilvl w:val="1"/>
          <w:numId w:val="16"/>
        </w:numPr>
        <w:ind w:left="1440" w:hanging="360"/>
        <w:rPr>
          <w:u w:val="none"/>
        </w:rPr>
      </w:pPr>
      <w:r w:rsidDel="00000000" w:rsidR="00000000" w:rsidRPr="00000000">
        <w:rPr>
          <w:rtl w:val="0"/>
        </w:rPr>
        <w:t xml:space="preserve">Lacks protocol-specificity: could lead to delayed recognition/treatment of electrolyte imbalances or progression of DKA.</w:t>
      </w:r>
      <w:r w:rsidDel="00000000" w:rsidR="00000000" w:rsidRPr="00000000">
        <w:rPr>
          <w:rtl w:val="0"/>
        </w:rPr>
      </w:r>
    </w:p>
    <w:p w:rsidR="00000000" w:rsidDel="00000000" w:rsidP="00000000" w:rsidRDefault="00000000" w:rsidRPr="00000000" w14:paraId="000000E7">
      <w:pPr>
        <w:pStyle w:val="Heading4"/>
        <w:rPr/>
      </w:pPr>
      <w:bookmarkStart w:colFirst="0" w:colLast="0" w:name="_heading=h.67wo04fo6vfn" w:id="24"/>
      <w:bookmarkEnd w:id="24"/>
      <w:r w:rsidDel="00000000" w:rsidR="00000000" w:rsidRPr="00000000">
        <w:rPr>
          <w:rtl w:val="0"/>
        </w:rPr>
        <w:t xml:space="preserve">B. Blockify Method Response</w:t>
      </w:r>
    </w:p>
    <w:p w:rsidR="00000000" w:rsidDel="00000000" w:rsidP="00000000" w:rsidRDefault="00000000" w:rsidRPr="00000000" w14:paraId="000000E8">
      <w:pPr>
        <w:numPr>
          <w:ilvl w:val="0"/>
          <w:numId w:val="17"/>
        </w:numPr>
        <w:ind w:left="720" w:hanging="360"/>
        <w:rPr>
          <w:u w:val="none"/>
        </w:rPr>
      </w:pPr>
      <w:r w:rsidDel="00000000" w:rsidR="00000000" w:rsidRPr="00000000">
        <w:rPr>
          <w:rtl w:val="0"/>
        </w:rPr>
        <w:t xml:space="preserve">Analysis</w:t>
      </w:r>
      <w:r w:rsidDel="00000000" w:rsidR="00000000" w:rsidRPr="00000000">
        <w:rPr>
          <w:rtl w:val="0"/>
        </w:rPr>
      </w:r>
    </w:p>
    <w:p w:rsidR="00000000" w:rsidDel="00000000" w:rsidP="00000000" w:rsidRDefault="00000000" w:rsidRPr="00000000" w14:paraId="000000E9">
      <w:pPr>
        <w:numPr>
          <w:ilvl w:val="1"/>
          <w:numId w:val="17"/>
        </w:numPr>
        <w:ind w:left="1440" w:hanging="360"/>
        <w:rPr>
          <w:u w:val="none"/>
        </w:rPr>
      </w:pPr>
      <w:r w:rsidDel="00000000" w:rsidR="00000000" w:rsidRPr="00000000">
        <w:rPr>
          <w:rtl w:val="0"/>
        </w:rPr>
        <w:t xml:space="preserve">Monitoring Section: Indicates hourly monitoring of both capillary glucose and ketone levels, consistent with current best-practice.</w:t>
      </w:r>
      <w:r w:rsidDel="00000000" w:rsidR="00000000" w:rsidRPr="00000000">
        <w:rPr>
          <w:rtl w:val="0"/>
        </w:rPr>
      </w:r>
    </w:p>
    <w:p w:rsidR="00000000" w:rsidDel="00000000" w:rsidP="00000000" w:rsidRDefault="00000000" w:rsidRPr="00000000" w14:paraId="000000EA">
      <w:pPr>
        <w:numPr>
          <w:ilvl w:val="1"/>
          <w:numId w:val="17"/>
        </w:numPr>
        <w:ind w:left="1440" w:hanging="360"/>
        <w:rPr>
          <w:u w:val="none"/>
        </w:rPr>
      </w:pPr>
      <w:r w:rsidDel="00000000" w:rsidR="00000000" w:rsidRPr="00000000">
        <w:rPr>
          <w:rtl w:val="0"/>
        </w:rPr>
        <w:t xml:space="preserve">Ketonuria Section: Provides guidance regarding what low-level ketonuria may or may not indicate; encourages use of β-hydroxybutyrate (capillary blood) for detection.</w:t>
      </w:r>
      <w:r w:rsidDel="00000000" w:rsidR="00000000" w:rsidRPr="00000000">
        <w:rPr>
          <w:rtl w:val="0"/>
        </w:rPr>
      </w:r>
    </w:p>
    <w:p w:rsidR="00000000" w:rsidDel="00000000" w:rsidP="00000000" w:rsidRDefault="00000000" w:rsidRPr="00000000" w14:paraId="000000EB">
      <w:pPr>
        <w:numPr>
          <w:ilvl w:val="0"/>
          <w:numId w:val="17"/>
        </w:numPr>
        <w:ind w:left="720" w:hanging="360"/>
        <w:rPr>
          <w:u w:val="none"/>
        </w:rPr>
      </w:pPr>
      <w:r w:rsidDel="00000000" w:rsidR="00000000" w:rsidRPr="00000000">
        <w:rPr>
          <w:rtl w:val="0"/>
        </w:rPr>
        <w:t xml:space="preserve">Risk:</w:t>
      </w:r>
      <w:r w:rsidDel="00000000" w:rsidR="00000000" w:rsidRPr="00000000">
        <w:rPr>
          <w:rtl w:val="0"/>
        </w:rPr>
      </w:r>
    </w:p>
    <w:p w:rsidR="00000000" w:rsidDel="00000000" w:rsidP="00000000" w:rsidRDefault="00000000" w:rsidRPr="00000000" w14:paraId="000000EC">
      <w:pPr>
        <w:numPr>
          <w:ilvl w:val="1"/>
          <w:numId w:val="17"/>
        </w:numPr>
        <w:ind w:left="1440" w:hanging="360"/>
        <w:rPr>
          <w:u w:val="none"/>
        </w:rPr>
      </w:pPr>
      <w:r w:rsidDel="00000000" w:rsidR="00000000" w:rsidRPr="00000000">
        <w:rPr>
          <w:rtl w:val="0"/>
        </w:rPr>
        <w:t xml:space="preserve">Sensibly emphasizes the right testing modalities and their interpretation, improving clinical accuracy and avoiding overdiagnosis or inappropriate exclusion of DKA.</w:t>
      </w:r>
      <w:r w:rsidDel="00000000" w:rsidR="00000000" w:rsidRPr="00000000">
        <w:rPr>
          <w:rtl w:val="0"/>
        </w:rPr>
      </w:r>
    </w:p>
    <w:p w:rsidR="00000000" w:rsidDel="00000000" w:rsidP="00000000" w:rsidRDefault="00000000" w:rsidRPr="00000000" w14:paraId="000000ED">
      <w:pPr>
        <w:numPr>
          <w:ilvl w:val="1"/>
          <w:numId w:val="17"/>
        </w:numPr>
        <w:ind w:left="1440" w:hanging="360"/>
        <w:rPr>
          <w:u w:val="none"/>
        </w:rPr>
      </w:pPr>
      <w:r w:rsidDel="00000000" w:rsidR="00000000" w:rsidRPr="00000000">
        <w:rPr>
          <w:rtl w:val="0"/>
        </w:rPr>
        <w:t xml:space="preserve">Promotes “real-time” bedside monitoring, aligned with modern management.</w:t>
      </w:r>
      <w:r w:rsidDel="00000000" w:rsidR="00000000" w:rsidRPr="00000000">
        <w:rPr>
          <w:rtl w:val="0"/>
        </w:rPr>
      </w:r>
    </w:p>
    <w:p w:rsidR="00000000" w:rsidDel="00000000" w:rsidP="00000000" w:rsidRDefault="00000000" w:rsidRPr="00000000" w14:paraId="000000EE">
      <w:pPr>
        <w:pStyle w:val="Heading3"/>
        <w:rPr/>
      </w:pPr>
      <w:bookmarkStart w:colFirst="0" w:colLast="0" w:name="_heading=h.acqz3dblyb0" w:id="25"/>
      <w:bookmarkEnd w:id="25"/>
      <w:r w:rsidDel="00000000" w:rsidR="00000000" w:rsidRPr="00000000">
        <w:rPr>
          <w:rtl w:val="0"/>
        </w:rPr>
        <w:t xml:space="preserve">3. Supportive Care and Discharge Procedure</w:t>
      </w:r>
    </w:p>
    <w:p w:rsidR="00000000" w:rsidDel="00000000" w:rsidP="00000000" w:rsidRDefault="00000000" w:rsidRPr="00000000" w14:paraId="000000EF">
      <w:pPr>
        <w:pStyle w:val="Heading4"/>
        <w:rPr/>
      </w:pPr>
      <w:bookmarkStart w:colFirst="0" w:colLast="0" w:name="_heading=h.w4wbn3ikmi6u" w:id="26"/>
      <w:bookmarkEnd w:id="26"/>
      <w:r w:rsidDel="00000000" w:rsidR="00000000" w:rsidRPr="00000000">
        <w:rPr>
          <w:rtl w:val="0"/>
        </w:rPr>
        <w:t xml:space="preserve">A. Chunking Method Response</w:t>
      </w:r>
    </w:p>
    <w:p w:rsidR="00000000" w:rsidDel="00000000" w:rsidP="00000000" w:rsidRDefault="00000000" w:rsidRPr="00000000" w14:paraId="000000F0">
      <w:pPr>
        <w:numPr>
          <w:ilvl w:val="0"/>
          <w:numId w:val="31"/>
        </w:numPr>
        <w:ind w:left="720" w:hanging="360"/>
        <w:rPr>
          <w:u w:val="none"/>
        </w:rPr>
      </w:pPr>
      <w:r w:rsidDel="00000000" w:rsidR="00000000" w:rsidRPr="00000000">
        <w:rPr>
          <w:rtl w:val="0"/>
        </w:rPr>
        <w:t xml:space="preserve">Analysis</w:t>
      </w:r>
      <w:r w:rsidDel="00000000" w:rsidR="00000000" w:rsidRPr="00000000">
        <w:rPr>
          <w:rtl w:val="0"/>
        </w:rPr>
      </w:r>
    </w:p>
    <w:p w:rsidR="00000000" w:rsidDel="00000000" w:rsidP="00000000" w:rsidRDefault="00000000" w:rsidRPr="00000000" w14:paraId="000000F1">
      <w:pPr>
        <w:numPr>
          <w:ilvl w:val="1"/>
          <w:numId w:val="31"/>
        </w:numPr>
        <w:ind w:left="1440" w:hanging="360"/>
        <w:rPr>
          <w:u w:val="none"/>
        </w:rPr>
      </w:pPr>
      <w:r w:rsidDel="00000000" w:rsidR="00000000" w:rsidRPr="00000000">
        <w:rPr>
          <w:rtl w:val="0"/>
        </w:rPr>
        <w:t xml:space="preserve">Lists broad supportive measures (antiemetics, laxatives, sedatives, cognitive support) for symptoms like pain, vomiting, or confusion.</w:t>
      </w:r>
      <w:r w:rsidDel="00000000" w:rsidR="00000000" w:rsidRPr="00000000">
        <w:rPr>
          <w:rtl w:val="0"/>
        </w:rPr>
      </w:r>
    </w:p>
    <w:p w:rsidR="00000000" w:rsidDel="00000000" w:rsidP="00000000" w:rsidRDefault="00000000" w:rsidRPr="00000000" w14:paraId="000000F2">
      <w:pPr>
        <w:numPr>
          <w:ilvl w:val="1"/>
          <w:numId w:val="31"/>
        </w:numPr>
        <w:ind w:left="1440" w:hanging="360"/>
        <w:rPr>
          <w:u w:val="none"/>
        </w:rPr>
      </w:pPr>
      <w:r w:rsidDel="00000000" w:rsidR="00000000" w:rsidRPr="00000000">
        <w:rPr>
          <w:rtl w:val="0"/>
        </w:rPr>
        <w:t xml:space="preserve">Does not clearly restrict discharge protocol to clinical recovery and lab stability.</w:t>
      </w:r>
      <w:r w:rsidDel="00000000" w:rsidR="00000000" w:rsidRPr="00000000">
        <w:rPr>
          <w:rtl w:val="0"/>
        </w:rPr>
      </w:r>
    </w:p>
    <w:p w:rsidR="00000000" w:rsidDel="00000000" w:rsidP="00000000" w:rsidRDefault="00000000" w:rsidRPr="00000000" w14:paraId="000000F3">
      <w:pPr>
        <w:numPr>
          <w:ilvl w:val="0"/>
          <w:numId w:val="31"/>
        </w:numPr>
        <w:ind w:left="720" w:hanging="360"/>
        <w:rPr>
          <w:u w:val="none"/>
        </w:rPr>
      </w:pPr>
      <w:r w:rsidDel="00000000" w:rsidR="00000000" w:rsidRPr="00000000">
        <w:rPr>
          <w:rtl w:val="0"/>
        </w:rPr>
        <w:t xml:space="preserve">Risk</w:t>
      </w:r>
      <w:r w:rsidDel="00000000" w:rsidR="00000000" w:rsidRPr="00000000">
        <w:rPr>
          <w:rtl w:val="0"/>
        </w:rPr>
      </w:r>
    </w:p>
    <w:p w:rsidR="00000000" w:rsidDel="00000000" w:rsidP="00000000" w:rsidRDefault="00000000" w:rsidRPr="00000000" w14:paraId="000000F4">
      <w:pPr>
        <w:numPr>
          <w:ilvl w:val="1"/>
          <w:numId w:val="31"/>
        </w:numPr>
        <w:ind w:left="1440" w:hanging="360"/>
        <w:rPr>
          <w:u w:val="none"/>
        </w:rPr>
      </w:pPr>
      <w:r w:rsidDel="00000000" w:rsidR="00000000" w:rsidRPr="00000000">
        <w:rPr>
          <w:rtl w:val="0"/>
        </w:rPr>
        <w:t xml:space="preserve">Generic advice may lead to off-guideline use (sedatives = risk in altered consciousness; laxatives unnecessary).</w:t>
      </w:r>
      <w:r w:rsidDel="00000000" w:rsidR="00000000" w:rsidRPr="00000000">
        <w:rPr>
          <w:rtl w:val="0"/>
        </w:rPr>
      </w:r>
    </w:p>
    <w:p w:rsidR="00000000" w:rsidDel="00000000" w:rsidP="00000000" w:rsidRDefault="00000000" w:rsidRPr="00000000" w14:paraId="000000F5">
      <w:pPr>
        <w:pStyle w:val="Heading4"/>
        <w:rPr/>
      </w:pPr>
      <w:bookmarkStart w:colFirst="0" w:colLast="0" w:name="_heading=h.53fwchos7o2x" w:id="27"/>
      <w:bookmarkEnd w:id="27"/>
      <w:r w:rsidDel="00000000" w:rsidR="00000000" w:rsidRPr="00000000">
        <w:rPr>
          <w:rtl w:val="0"/>
        </w:rPr>
        <w:t xml:space="preserve">B. Blockify Method Response</w:t>
      </w:r>
    </w:p>
    <w:p w:rsidR="00000000" w:rsidDel="00000000" w:rsidP="00000000" w:rsidRDefault="00000000" w:rsidRPr="00000000" w14:paraId="000000F6">
      <w:pPr>
        <w:numPr>
          <w:ilvl w:val="0"/>
          <w:numId w:val="20"/>
        </w:numPr>
        <w:ind w:left="720" w:hanging="360"/>
        <w:rPr/>
      </w:pPr>
      <w:r w:rsidDel="00000000" w:rsidR="00000000" w:rsidRPr="00000000">
        <w:rPr>
          <w:rtl w:val="0"/>
        </w:rPr>
        <w:t xml:space="preserve">Analysis</w:t>
      </w:r>
    </w:p>
    <w:p w:rsidR="00000000" w:rsidDel="00000000" w:rsidP="00000000" w:rsidRDefault="00000000" w:rsidRPr="00000000" w14:paraId="000000F7">
      <w:pPr>
        <w:numPr>
          <w:ilvl w:val="1"/>
          <w:numId w:val="20"/>
        </w:numPr>
        <w:ind w:left="1440" w:hanging="360"/>
        <w:rPr>
          <w:u w:val="none"/>
        </w:rPr>
      </w:pPr>
      <w:r w:rsidDel="00000000" w:rsidR="00000000" w:rsidRPr="00000000">
        <w:rPr>
          <w:rtl w:val="0"/>
        </w:rPr>
        <w:t xml:space="preserve">Discharge/Observation: Recommends only providing a complex carbohydrate meal and 1-hour post-meal observation before accompanied discharge.</w:t>
      </w:r>
      <w:r w:rsidDel="00000000" w:rsidR="00000000" w:rsidRPr="00000000">
        <w:rPr>
          <w:rtl w:val="0"/>
        </w:rPr>
      </w:r>
    </w:p>
    <w:p w:rsidR="00000000" w:rsidDel="00000000" w:rsidP="00000000" w:rsidRDefault="00000000" w:rsidRPr="00000000" w14:paraId="000000F8">
      <w:pPr>
        <w:numPr>
          <w:ilvl w:val="1"/>
          <w:numId w:val="20"/>
        </w:numPr>
        <w:ind w:left="1440" w:hanging="360"/>
        <w:rPr>
          <w:u w:val="none"/>
        </w:rPr>
      </w:pPr>
      <w:r w:rsidDel="00000000" w:rsidR="00000000" w:rsidRPr="00000000">
        <w:rPr>
          <w:rtl w:val="0"/>
        </w:rPr>
        <w:t xml:space="preserve">IV Dextrose Use: Mentions giving 25 mL of 50% dextrose IV for persistent hypoglycemia.</w:t>
      </w:r>
      <w:r w:rsidDel="00000000" w:rsidR="00000000" w:rsidRPr="00000000">
        <w:rPr>
          <w:rtl w:val="0"/>
        </w:rPr>
      </w:r>
    </w:p>
    <w:p w:rsidR="00000000" w:rsidDel="00000000" w:rsidP="00000000" w:rsidRDefault="00000000" w:rsidRPr="00000000" w14:paraId="000000F9">
      <w:pPr>
        <w:numPr>
          <w:ilvl w:val="0"/>
          <w:numId w:val="20"/>
        </w:numPr>
        <w:ind w:left="720" w:hanging="360"/>
        <w:rPr>
          <w:u w:val="none"/>
        </w:rPr>
      </w:pPr>
      <w:r w:rsidDel="00000000" w:rsidR="00000000" w:rsidRPr="00000000">
        <w:rPr>
          <w:rtl w:val="0"/>
        </w:rPr>
        <w:t xml:space="preserve">Risk:</w:t>
      </w:r>
      <w:r w:rsidDel="00000000" w:rsidR="00000000" w:rsidRPr="00000000">
        <w:rPr>
          <w:rtl w:val="0"/>
        </w:rPr>
      </w:r>
    </w:p>
    <w:p w:rsidR="00000000" w:rsidDel="00000000" w:rsidP="00000000" w:rsidRDefault="00000000" w:rsidRPr="00000000" w14:paraId="000000FA">
      <w:pPr>
        <w:numPr>
          <w:ilvl w:val="1"/>
          <w:numId w:val="20"/>
        </w:numPr>
        <w:ind w:left="1440" w:hanging="360"/>
        <w:rPr>
          <w:u w:val="none"/>
        </w:rPr>
      </w:pPr>
      <w:r w:rsidDel="00000000" w:rsidR="00000000" w:rsidRPr="00000000">
        <w:rPr>
          <w:rtl w:val="0"/>
        </w:rPr>
        <w:t xml:space="preserve">Summarizes next steps and may be misinterpreted as endorsing rapid discharge.</w:t>
      </w: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pStyle w:val="Heading3"/>
        <w:rPr/>
      </w:pPr>
      <w:bookmarkStart w:colFirst="0" w:colLast="0" w:name="_heading=h.3nc2qhvlelcp" w:id="28"/>
      <w:bookmarkEnd w:id="28"/>
      <w:r w:rsidDel="00000000" w:rsidR="00000000" w:rsidRPr="00000000">
        <w:rPr>
          <w:rtl w:val="0"/>
        </w:rPr>
        <w:t xml:space="preserve">4. Factual and Source Fidelity</w:t>
      </w:r>
    </w:p>
    <w:p w:rsidR="00000000" w:rsidDel="00000000" w:rsidP="00000000" w:rsidRDefault="00000000" w:rsidRPr="00000000" w14:paraId="000000FD">
      <w:pPr>
        <w:pStyle w:val="Heading4"/>
        <w:rPr/>
      </w:pPr>
      <w:bookmarkStart w:colFirst="0" w:colLast="0" w:name="_heading=h.m8mwfsklz1s4" w:id="29"/>
      <w:bookmarkEnd w:id="29"/>
      <w:r w:rsidDel="00000000" w:rsidR="00000000" w:rsidRPr="00000000">
        <w:rPr>
          <w:rtl w:val="0"/>
        </w:rPr>
        <w:t xml:space="preserve">A. Chunking Method Response</w:t>
      </w:r>
    </w:p>
    <w:p w:rsidR="00000000" w:rsidDel="00000000" w:rsidP="00000000" w:rsidRDefault="00000000" w:rsidRPr="00000000" w14:paraId="000000FE">
      <w:pPr>
        <w:numPr>
          <w:ilvl w:val="0"/>
          <w:numId w:val="8"/>
        </w:numPr>
        <w:ind w:left="720" w:hanging="360"/>
        <w:rPr/>
      </w:pPr>
      <w:r w:rsidDel="00000000" w:rsidR="00000000" w:rsidRPr="00000000">
        <w:rPr>
          <w:rtl w:val="0"/>
        </w:rPr>
        <w:t xml:space="preserve">Major factual error: Placement of D5W as an initial, interchangeable IV fluid for DKA, directly opposing all major guidelines.</w:t>
      </w:r>
    </w:p>
    <w:p w:rsidR="00000000" w:rsidDel="00000000" w:rsidP="00000000" w:rsidRDefault="00000000" w:rsidRPr="00000000" w14:paraId="000000FF">
      <w:pPr>
        <w:numPr>
          <w:ilvl w:val="0"/>
          <w:numId w:val="8"/>
        </w:numPr>
        <w:ind w:left="720" w:hanging="360"/>
        <w:rPr/>
      </w:pPr>
      <w:r w:rsidDel="00000000" w:rsidR="00000000" w:rsidRPr="00000000">
        <w:rPr>
          <w:rtl w:val="0"/>
        </w:rPr>
        <w:t xml:space="preserve">Supportive care recommendations are inconsistent with standard DKA protocol.</w:t>
      </w:r>
    </w:p>
    <w:p w:rsidR="00000000" w:rsidDel="00000000" w:rsidP="00000000" w:rsidRDefault="00000000" w:rsidRPr="00000000" w14:paraId="00000100">
      <w:pPr>
        <w:pStyle w:val="Heading4"/>
        <w:rPr/>
      </w:pPr>
      <w:bookmarkStart w:colFirst="0" w:colLast="0" w:name="_heading=h.uw9oqrxh6t1c" w:id="30"/>
      <w:bookmarkEnd w:id="30"/>
      <w:r w:rsidDel="00000000" w:rsidR="00000000" w:rsidRPr="00000000">
        <w:rPr>
          <w:rtl w:val="0"/>
        </w:rPr>
        <w:t xml:space="preserve">B. Blockify Method Response</w:t>
      </w:r>
    </w:p>
    <w:p w:rsidR="00000000" w:rsidDel="00000000" w:rsidP="00000000" w:rsidRDefault="00000000" w:rsidRPr="00000000" w14:paraId="00000101">
      <w:pPr>
        <w:numPr>
          <w:ilvl w:val="0"/>
          <w:numId w:val="15"/>
        </w:numPr>
        <w:ind w:left="720" w:hanging="360"/>
        <w:rPr>
          <w:u w:val="none"/>
        </w:rPr>
      </w:pPr>
      <w:r w:rsidDel="00000000" w:rsidR="00000000" w:rsidRPr="00000000">
        <w:rPr>
          <w:rtl w:val="0"/>
        </w:rPr>
        <w:t xml:space="preserve">Fluid selection inadequately specified, but at least does not introduce an overtly dangerous recommendation.</w:t>
      </w:r>
      <w:r w:rsidDel="00000000" w:rsidR="00000000" w:rsidRPr="00000000">
        <w:rPr>
          <w:rtl w:val="0"/>
        </w:rPr>
      </w:r>
    </w:p>
    <w:p w:rsidR="00000000" w:rsidDel="00000000" w:rsidP="00000000" w:rsidRDefault="00000000" w:rsidRPr="00000000" w14:paraId="00000102">
      <w:pPr>
        <w:numPr>
          <w:ilvl w:val="0"/>
          <w:numId w:val="15"/>
        </w:numPr>
        <w:ind w:left="720" w:hanging="360"/>
        <w:rPr>
          <w:u w:val="none"/>
        </w:rPr>
      </w:pPr>
      <w:r w:rsidDel="00000000" w:rsidR="00000000" w:rsidRPr="00000000">
        <w:rPr>
          <w:rtl w:val="0"/>
        </w:rPr>
        <w:t xml:space="preserve">Diagnostics, monitoring, and use/interpretation of ketones more closely aligned with authoritative guidance.</w:t>
      </w:r>
      <w:r w:rsidDel="00000000" w:rsidR="00000000" w:rsidRPr="00000000">
        <w:rPr>
          <w:rtl w:val="0"/>
        </w:rPr>
      </w:r>
    </w:p>
    <w:p w:rsidR="00000000" w:rsidDel="00000000" w:rsidP="00000000" w:rsidRDefault="00000000" w:rsidRPr="00000000" w14:paraId="00000103">
      <w:pPr>
        <w:numPr>
          <w:ilvl w:val="0"/>
          <w:numId w:val="15"/>
        </w:numPr>
        <w:ind w:left="720" w:hanging="360"/>
        <w:rPr>
          <w:u w:val="none"/>
        </w:rPr>
      </w:pPr>
      <w:r w:rsidDel="00000000" w:rsidR="00000000" w:rsidRPr="00000000">
        <w:rPr>
          <w:rtl w:val="0"/>
        </w:rPr>
        <w:t xml:space="preserve">IV dextrose for hypoglycemia: Correct, though not a routine early step in DKA protocol (more of a rescue measure).</w:t>
      </w:r>
      <w:r w:rsidDel="00000000" w:rsidR="00000000" w:rsidRPr="00000000">
        <w:rPr>
          <w:rtl w:val="0"/>
        </w:rPr>
      </w:r>
    </w:p>
    <w:p w:rsidR="00000000" w:rsidDel="00000000" w:rsidP="00000000" w:rsidRDefault="00000000" w:rsidRPr="00000000" w14:paraId="00000104">
      <w:pPr>
        <w:numPr>
          <w:ilvl w:val="0"/>
          <w:numId w:val="15"/>
        </w:numPr>
        <w:ind w:left="720" w:hanging="360"/>
        <w:rPr>
          <w:u w:val="none"/>
        </w:rPr>
      </w:pPr>
      <w:r w:rsidDel="00000000" w:rsidR="00000000" w:rsidRPr="00000000">
        <w:rPr>
          <w:rtl w:val="0"/>
        </w:rPr>
        <w:t xml:space="preserve">Discharge protocol is incomplete and, if interpreted without context, could result in hasty patient discharge.</w:t>
      </w:r>
      <w:r w:rsidDel="00000000" w:rsidR="00000000" w:rsidRPr="00000000">
        <w:rPr>
          <w:rtl w:val="0"/>
        </w:rPr>
      </w:r>
    </w:p>
    <w:p w:rsidR="00000000" w:rsidDel="00000000" w:rsidP="00000000" w:rsidRDefault="00000000" w:rsidRPr="00000000" w14:paraId="00000105">
      <w:pPr>
        <w:pStyle w:val="Heading2"/>
        <w:rPr/>
      </w:pPr>
      <w:bookmarkStart w:colFirst="0" w:colLast="0" w:name="_heading=h.tuccxgft65eo" w:id="31"/>
      <w:bookmarkEnd w:id="31"/>
      <w:r w:rsidDel="00000000" w:rsidR="00000000" w:rsidRPr="00000000">
        <w:rPr>
          <w:rtl w:val="0"/>
        </w:rPr>
        <w:t xml:space="preserve">Analyzing the Chunking Method Output</w:t>
      </w:r>
    </w:p>
    <w:p w:rsidR="00000000" w:rsidDel="00000000" w:rsidP="00000000" w:rsidRDefault="00000000" w:rsidRPr="00000000" w14:paraId="00000106">
      <w:pPr>
        <w:rPr/>
      </w:pPr>
      <w:r w:rsidDel="00000000" w:rsidR="00000000" w:rsidRPr="00000000">
        <w:rPr>
          <w:rtl w:val="0"/>
        </w:rPr>
        <w:t xml:space="preserve">The Chunking Method Output LLM offered the following recommendations:</w:t>
      </w:r>
    </w:p>
    <w:p w:rsidR="00000000" w:rsidDel="00000000" w:rsidP="00000000" w:rsidRDefault="00000000" w:rsidRPr="00000000" w14:paraId="00000107">
      <w:pPr>
        <w:numPr>
          <w:ilvl w:val="0"/>
          <w:numId w:val="30"/>
        </w:numPr>
        <w:ind w:left="720" w:hanging="360"/>
        <w:rPr>
          <w:u w:val="none"/>
        </w:rPr>
      </w:pPr>
      <w:r w:rsidDel="00000000" w:rsidR="00000000" w:rsidRPr="00000000">
        <w:rPr>
          <w:rtl w:val="0"/>
        </w:rPr>
        <w:t xml:space="preserve">Intravenous fluids (e.g., saline or D5W) are administered to correct dehydration and electrolyte imbalances. </w:t>
      </w:r>
      <w:r w:rsidDel="00000000" w:rsidR="00000000" w:rsidRPr="00000000">
        <w:rPr>
          <w:rtl w:val="0"/>
        </w:rPr>
      </w:r>
    </w:p>
    <w:p w:rsidR="00000000" w:rsidDel="00000000" w:rsidP="00000000" w:rsidRDefault="00000000" w:rsidRPr="00000000" w14:paraId="00000108">
      <w:pPr>
        <w:numPr>
          <w:ilvl w:val="0"/>
          <w:numId w:val="30"/>
        </w:numPr>
        <w:ind w:left="720" w:hanging="360"/>
        <w:rPr>
          <w:u w:val="none"/>
        </w:rPr>
      </w:pPr>
      <w:r w:rsidDel="00000000" w:rsidR="00000000" w:rsidRPr="00000000">
        <w:rPr>
          <w:rtl w:val="0"/>
        </w:rPr>
        <w:t xml:space="preserve">Insulin therapy is initiated... </w:t>
      </w:r>
      <w:r w:rsidDel="00000000" w:rsidR="00000000" w:rsidRPr="00000000">
        <w:rPr>
          <w:rtl w:val="0"/>
        </w:rPr>
      </w:r>
    </w:p>
    <w:p w:rsidR="00000000" w:rsidDel="00000000" w:rsidP="00000000" w:rsidRDefault="00000000" w:rsidRPr="00000000" w14:paraId="00000109">
      <w:pPr>
        <w:numPr>
          <w:ilvl w:val="0"/>
          <w:numId w:val="30"/>
        </w:numPr>
        <w:ind w:left="720" w:hanging="360"/>
        <w:rPr>
          <w:u w:val="none"/>
        </w:rPr>
      </w:pPr>
      <w:r w:rsidDel="00000000" w:rsidR="00000000" w:rsidRPr="00000000">
        <w:rPr>
          <w:rtl w:val="0"/>
        </w:rPr>
        <w:t xml:space="preserve">Potassium supplements may be given... </w:t>
      </w:r>
      <w:r w:rsidDel="00000000" w:rsidR="00000000" w:rsidRPr="00000000">
        <w:rPr>
          <w:rtl w:val="0"/>
        </w:rPr>
      </w:r>
    </w:p>
    <w:p w:rsidR="00000000" w:rsidDel="00000000" w:rsidP="00000000" w:rsidRDefault="00000000" w:rsidRPr="00000000" w14:paraId="0000010A">
      <w:pPr>
        <w:numPr>
          <w:ilvl w:val="0"/>
          <w:numId w:val="30"/>
        </w:numPr>
        <w:ind w:left="720" w:hanging="360"/>
        <w:rPr>
          <w:u w:val="none"/>
        </w:rPr>
      </w:pPr>
      <w:r w:rsidDel="00000000" w:rsidR="00000000" w:rsidRPr="00000000">
        <w:rPr>
          <w:rtl w:val="0"/>
        </w:rPr>
        <w:t xml:space="preserve">Electrolyte levels monitored... </w:t>
      </w:r>
      <w:r w:rsidDel="00000000" w:rsidR="00000000" w:rsidRPr="00000000">
        <w:rPr>
          <w:rtl w:val="0"/>
        </w:rPr>
      </w:r>
    </w:p>
    <w:p w:rsidR="00000000" w:rsidDel="00000000" w:rsidP="00000000" w:rsidRDefault="00000000" w:rsidRPr="00000000" w14:paraId="0000010B">
      <w:pPr>
        <w:numPr>
          <w:ilvl w:val="0"/>
          <w:numId w:val="30"/>
        </w:numPr>
        <w:ind w:left="720" w:hanging="360"/>
        <w:rPr>
          <w:u w:val="none"/>
        </w:rPr>
      </w:pPr>
      <w:r w:rsidDel="00000000" w:rsidR="00000000" w:rsidRPr="00000000">
        <w:rPr>
          <w:rtl w:val="0"/>
        </w:rPr>
        <w:t xml:space="preserve">Supportive care (antiemetics, laxatives, sedatives, cognitive support) suggested for symptoms...</w:t>
      </w:r>
      <w:r w:rsidDel="00000000" w:rsidR="00000000" w:rsidRPr="00000000">
        <w:rPr>
          <w:rtl w:val="0"/>
        </w:rPr>
      </w:r>
    </w:p>
    <w:p w:rsidR="00000000" w:rsidDel="00000000" w:rsidP="00000000" w:rsidRDefault="00000000" w:rsidRPr="00000000" w14:paraId="0000010C">
      <w:pPr>
        <w:pStyle w:val="Heading3"/>
        <w:rPr/>
      </w:pPr>
      <w:bookmarkStart w:colFirst="0" w:colLast="0" w:name="_heading=h.qemk4i5uekyx" w:id="32"/>
      <w:bookmarkEnd w:id="32"/>
      <w:r w:rsidDel="00000000" w:rsidR="00000000" w:rsidRPr="00000000">
        <w:rPr>
          <w:rtl w:val="0"/>
        </w:rPr>
        <w:t xml:space="preserve">1. Misrepresentation of Initial IV Fluid Choice</w:t>
      </w:r>
    </w:p>
    <w:p w:rsidR="00000000" w:rsidDel="00000000" w:rsidP="00000000" w:rsidRDefault="00000000" w:rsidRPr="00000000" w14:paraId="0000010D">
      <w:pPr>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Feature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LLM Statement (Inaccurate)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b w:val="1"/>
                <w:color w:val="ffffff"/>
                <w:rtl w:val="0"/>
              </w:rPr>
              <w:t xml:space="preserve">Commentary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Risks Introduced (from LLM imprecision)</w:t>
            </w:r>
            <w:r w:rsidDel="00000000" w:rsidR="00000000" w:rsidRPr="00000000">
              <w:rPr>
                <w:rtl w:val="0"/>
              </w:rPr>
            </w:r>
          </w:p>
        </w:tc>
      </w:tr>
      <w:tr>
        <w:trPr>
          <w:cantSplit w:val="0"/>
          <w:trHeight w:val="29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Initial IV Fluid Choice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"Intravenous fluids (e.g., saline or D5W) are administered to correct dehydration and electrolyte imbalances."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DKA initial fluid resuscitation: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Always begin with isotonic saline (0.9% NaCl).</w:t>
            </w: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D5W (5% dextrose in water):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Only introduced after substantial glucose reduction and partial metabolic stabilization, to continue insulin safely while avoiding hypoglycemia.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Failure to rapidly correct intravascular volume depletion</w:t>
            </w:r>
            <w:r w:rsidDel="00000000" w:rsidR="00000000" w:rsidRPr="00000000">
              <w:rPr>
                <w:rtl w:val="0"/>
              </w:rPr>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Exacerbation of hyperglycemia and hyperosmolarity</w:t>
            </w: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Delay in resolving critical ketoacidosis</w:t>
            </w:r>
            <w:r w:rsidDel="00000000" w:rsidR="00000000" w:rsidRPr="00000000">
              <w:rPr>
                <w:rtl w:val="0"/>
              </w:rPr>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Potential for insulin therapy being less effective or withheld</w:t>
            </w:r>
          </w:p>
        </w:tc>
      </w:tr>
      <w:tr>
        <w:trPr>
          <w:cantSplit w:val="0"/>
          <w:trHeight w:val="213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Guideline Support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Implies interchangeability of saline and D5W initially.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authoritative guideline supports D5W as an interchangeable, initial fluid option for DKA. Premature use can dangerously worsen hyperglycemia and delay correction of acidosis.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Misleading non-expert clinicians to select D5W as first-line.</w:t>
            </w:r>
          </w:p>
        </w:tc>
      </w:tr>
    </w:tbl>
    <w:p w:rsidR="00000000" w:rsidDel="00000000" w:rsidP="00000000" w:rsidRDefault="00000000" w:rsidRPr="00000000" w14:paraId="0000012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pStyle w:val="Heading3"/>
        <w:rPr/>
      </w:pPr>
      <w:bookmarkStart w:colFirst="0" w:colLast="0" w:name="_heading=h.8m9scq56nmpq" w:id="33"/>
      <w:bookmarkEnd w:id="33"/>
      <w:r w:rsidDel="00000000" w:rsidR="00000000" w:rsidRPr="00000000">
        <w:rPr>
          <w:rtl w:val="0"/>
        </w:rPr>
        <w:t xml:space="preserve">2. Lack of Stepwise, Condition-Based Protocol Clarity</w:t>
      </w:r>
    </w:p>
    <w:p w:rsidR="00000000" w:rsidDel="00000000" w:rsidP="00000000" w:rsidRDefault="00000000" w:rsidRPr="00000000" w14:paraId="00000124">
      <w:pPr>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Issue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126">
            <w:pPr>
              <w:widowControl w:val="0"/>
              <w:jc w:val="center"/>
              <w:rPr>
                <w:color w:val="ffffff"/>
              </w:rPr>
            </w:pPr>
            <w:r w:rsidDel="00000000" w:rsidR="00000000" w:rsidRPr="00000000">
              <w:rPr>
                <w:b w:val="1"/>
                <w:color w:val="ffffff"/>
                <w:rtl w:val="0"/>
              </w:rPr>
              <w:t xml:space="preserve">LLM Statement (Inaccurate)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Accurate Protocol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Risks Introduced by LLM Summary</w:t>
            </w:r>
            <w:r w:rsidDel="00000000" w:rsidR="00000000" w:rsidRPr="00000000">
              <w:rPr>
                <w:rtl w:val="0"/>
              </w:rPr>
            </w:r>
          </w:p>
        </w:tc>
      </w:tr>
      <w:tr>
        <w:trPr>
          <w:cantSplit w:val="0"/>
          <w:trHeight w:val="32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Lack of Stepwise, Condition-Based Protocol Clarity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Grouped “saline or D5W” and omitted crucial stepwise escalation and indication-specific usage of fluids.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Initial IV resuscitation: 0.9% NaCl</w:t>
            </w: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Transition to D5W ONLY when blood glucose drops to ~200–250 mg/dL and acidosis persists</w:t>
            </w:r>
            <w:r w:rsidDel="00000000" w:rsidR="00000000" w:rsidRPr="00000000">
              <w:rPr>
                <w:rtl w:val="0"/>
              </w:rPr>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Centrality of ongoing insulin infusion and tailored potassium supplementation based on labs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ncorrectly start with a hypotonic, non-electrolyte fluid in a volume-depleted, acidotic patient</w:t>
            </w:r>
            <w:r w:rsidDel="00000000" w:rsidR="00000000" w:rsidRPr="00000000">
              <w:rPr>
                <w:rtl w:val="0"/>
              </w:rPr>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Misinterpret D5W’s role, resulting in under-correction of dehydration and metabolic derangements</w:t>
            </w:r>
            <w:r w:rsidDel="00000000" w:rsidR="00000000" w:rsidRPr="00000000">
              <w:rPr>
                <w:rtl w:val="0"/>
              </w:rPr>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Miss critical timing for potassium supplementation and insulin continuation</w:t>
            </w:r>
          </w:p>
        </w:tc>
      </w:tr>
    </w:tbl>
    <w:p w:rsidR="00000000" w:rsidDel="00000000" w:rsidP="00000000" w:rsidRDefault="00000000" w:rsidRPr="00000000" w14:paraId="0000013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pStyle w:val="Heading3"/>
        <w:rPr/>
      </w:pPr>
      <w:bookmarkStart w:colFirst="0" w:colLast="0" w:name="_heading=h.v9wz5yl1lr27" w:id="34"/>
      <w:bookmarkEnd w:id="34"/>
      <w:r w:rsidDel="00000000" w:rsidR="00000000" w:rsidRPr="00000000">
        <w:rPr>
          <w:rtl w:val="0"/>
        </w:rPr>
        <w:t xml:space="preserve">3. Overgeneralization in Supportive Care Advice from Chunking Method</w:t>
      </w:r>
    </w:p>
    <w:p w:rsidR="00000000" w:rsidDel="00000000" w:rsidP="00000000" w:rsidRDefault="00000000" w:rsidRPr="00000000" w14:paraId="00000137">
      <w:pPr>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Aspect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139">
            <w:pPr>
              <w:widowControl w:val="0"/>
              <w:jc w:val="center"/>
              <w:rPr>
                <w:color w:val="ffffff"/>
              </w:rPr>
            </w:pPr>
            <w:r w:rsidDel="00000000" w:rsidR="00000000" w:rsidRPr="00000000">
              <w:rPr>
                <w:b w:val="1"/>
                <w:color w:val="ffffff"/>
                <w:rtl w:val="0"/>
              </w:rPr>
              <w:t xml:space="preserve">LLM Statement (Inaccurate)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Accurate Protocol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Risks Introduced</w:t>
            </w:r>
            <w:r w:rsidDel="00000000" w:rsidR="00000000" w:rsidRPr="00000000">
              <w:rPr>
                <w:rtl w:val="0"/>
              </w:rPr>
            </w:r>
          </w:p>
        </w:tc>
      </w:tr>
      <w:tr>
        <w:trPr>
          <w:cantSplit w:val="0"/>
          <w:trHeight w:val="186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Supportive Care Focus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Mentions supportive care with "antiemetics, laxatives, sedatives, cognitive support" for common symptoms.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Supportive care in DKA is targeted at symptom management.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Numerous</w:t>
            </w:r>
            <w:r w:rsidDel="00000000" w:rsidR="00000000" w:rsidRPr="00000000">
              <w:rPr>
                <w:rtl w:val="0"/>
              </w:rPr>
            </w:r>
          </w:p>
        </w:tc>
      </w:tr>
      <w:tr>
        <w:trPr>
          <w:cantSplit w:val="0"/>
          <w:trHeight w:val="213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Sedatives/Cognitive Support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Recommended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standard; may be contraindicated in altered mental status due to risk of respiratory depression in acidotic, unstable patients.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 of inappropriate pharmacologic sedation, masking evolving cerebral edema or other complications.</w:t>
            </w:r>
          </w:p>
        </w:tc>
      </w:tr>
      <w:tr>
        <w:trPr>
          <w:cantSplit w:val="0"/>
          <w:trHeight w:val="13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Laxatives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Recommended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standard role; vomiting and GI symptoms resolve with metabolic correction.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Non-evidence-based use of drugs.</w:t>
            </w:r>
          </w:p>
        </w:tc>
      </w:tr>
    </w:tbl>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149">
      <w:pPr>
        <w:pStyle w:val="Heading2"/>
        <w:rPr/>
      </w:pPr>
      <w:bookmarkStart w:colFirst="0" w:colLast="0" w:name="_heading=h.8jbzkdrqhh7o" w:id="35"/>
      <w:bookmarkEnd w:id="35"/>
      <w:r w:rsidDel="00000000" w:rsidR="00000000" w:rsidRPr="00000000">
        <w:rPr>
          <w:rtl w:val="0"/>
        </w:rPr>
        <w:t xml:space="preserve">Lessons from Whitepaper Findings</w:t>
      </w:r>
    </w:p>
    <w:p w:rsidR="00000000" w:rsidDel="00000000" w:rsidP="00000000" w:rsidRDefault="00000000" w:rsidRPr="00000000" w14:paraId="0000014A">
      <w:pPr>
        <w:rPr/>
      </w:pPr>
      <w:r w:rsidDel="00000000" w:rsidR="00000000" w:rsidRPr="00000000">
        <w:rPr>
          <w:rtl w:val="0"/>
        </w:rPr>
        <w:t xml:space="preserve">The whitepaper rigorously demonstrates that Blockify substantially improves both accuracy and source fidelity compared to basic chunking in RAG pipelines, particularly in medical decision-support. It highlights that even minor factual misalignments—such as suggesting D5W as an initial fluid in DKA management—can lead to dangerous clinical errors and patient harm.</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pStyle w:val="Heading3"/>
        <w:rPr/>
      </w:pPr>
      <w:bookmarkStart w:colFirst="0" w:colLast="0" w:name="_heading=h.wa9gtxpemihw" w:id="36"/>
      <w:bookmarkEnd w:id="36"/>
      <w:r w:rsidDel="00000000" w:rsidR="00000000" w:rsidRPr="00000000">
        <w:rPr>
          <w:rtl w:val="0"/>
        </w:rPr>
        <w:t xml:space="preserve">Key Findings:</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numPr>
          <w:ilvl w:val="0"/>
          <w:numId w:val="1"/>
        </w:numPr>
        <w:ind w:left="720" w:hanging="360"/>
        <w:rPr/>
      </w:pPr>
      <w:r w:rsidDel="00000000" w:rsidR="00000000" w:rsidRPr="00000000">
        <w:rPr>
          <w:b w:val="1"/>
          <w:rtl w:val="0"/>
        </w:rPr>
        <w:t xml:space="preserve">Source-aligned specificity is critical:</w:t>
      </w:r>
      <w:r w:rsidDel="00000000" w:rsidR="00000000" w:rsidRPr="00000000">
        <w:rPr>
          <w:rtl w:val="0"/>
        </w:rPr>
        <w:t xml:space="preserve"> Summaries must mirror guideline-driven, stepwise recommendations to prevent the introduction of clinically unsafe advice. The LLM-generated output that introduces D5W as an initial fluid exemplifies the risk of such misalignment.</w:t>
      </w:r>
    </w:p>
    <w:p w:rsidR="00000000" w:rsidDel="00000000" w:rsidP="00000000" w:rsidRDefault="00000000" w:rsidRPr="00000000" w14:paraId="0000014F">
      <w:pPr>
        <w:numPr>
          <w:ilvl w:val="0"/>
          <w:numId w:val="1"/>
        </w:numPr>
        <w:ind w:left="720" w:hanging="360"/>
        <w:rPr/>
      </w:pPr>
      <w:r w:rsidDel="00000000" w:rsidR="00000000" w:rsidRPr="00000000">
        <w:rPr>
          <w:b w:val="1"/>
          <w:rtl w:val="0"/>
        </w:rPr>
        <w:t xml:space="preserve">Risk of clinical misapplication:</w:t>
      </w:r>
      <w:r w:rsidDel="00000000" w:rsidR="00000000" w:rsidRPr="00000000">
        <w:rPr>
          <w:rtl w:val="0"/>
        </w:rPr>
        <w:t xml:space="preserve"> Small factual inaccuracies in high-stakes environments like DKA management can result in inappropriate interventions, potentially harming patients and delaying correct treatment.</w:t>
      </w:r>
    </w:p>
    <w:p w:rsidR="00000000" w:rsidDel="00000000" w:rsidP="00000000" w:rsidRDefault="00000000" w:rsidRPr="00000000" w14:paraId="00000150">
      <w:pPr>
        <w:numPr>
          <w:ilvl w:val="0"/>
          <w:numId w:val="1"/>
        </w:numPr>
        <w:ind w:left="720" w:hanging="360"/>
        <w:rPr/>
      </w:pPr>
      <w:r w:rsidDel="00000000" w:rsidR="00000000" w:rsidRPr="00000000">
        <w:rPr>
          <w:b w:val="1"/>
          <w:rtl w:val="0"/>
        </w:rPr>
        <w:t xml:space="preserve">Necessity of advanced data processing:</w:t>
      </w:r>
      <w:r w:rsidDel="00000000" w:rsidR="00000000" w:rsidRPr="00000000">
        <w:rPr>
          <w:rtl w:val="0"/>
        </w:rPr>
        <w:t xml:space="preserve"> Robust ingestion and block-based structuring, as provided by Blockify, offer the structured precision necessary for safe point-of-care decision-making.</w:t>
      </w:r>
    </w:p>
    <w:p w:rsidR="00000000" w:rsidDel="00000000" w:rsidP="00000000" w:rsidRDefault="00000000" w:rsidRPr="00000000" w14:paraId="00000151">
      <w:pPr>
        <w:numPr>
          <w:ilvl w:val="0"/>
          <w:numId w:val="1"/>
        </w:numPr>
        <w:ind w:left="720" w:hanging="360"/>
        <w:rPr/>
      </w:pPr>
      <w:r w:rsidDel="00000000" w:rsidR="00000000" w:rsidRPr="00000000">
        <w:rPr>
          <w:b w:val="1"/>
          <w:rtl w:val="0"/>
        </w:rPr>
        <w:t xml:space="preserve">Impact on trust and efficiency:</w:t>
      </w:r>
      <w:r w:rsidDel="00000000" w:rsidR="00000000" w:rsidRPr="00000000">
        <w:rPr>
          <w:rtl w:val="0"/>
        </w:rPr>
        <w:t xml:space="preserve"> Clinically inaccurate or misaligned outputs erode user trust in LLM-supported tools, undermine decisional confidence in urgent scenarios, and can prolong the time required to administer correct therapies.</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pStyle w:val="Heading3"/>
        <w:rPr/>
      </w:pPr>
      <w:bookmarkStart w:colFirst="0" w:colLast="0" w:name="_heading=h.cm5gf0b79v9z" w:id="37"/>
      <w:bookmarkEnd w:id="37"/>
      <w:r w:rsidDel="00000000" w:rsidR="00000000" w:rsidRPr="00000000">
        <w:rPr>
          <w:rtl w:val="0"/>
        </w:rPr>
        <w:t xml:space="preserve">Analytical Insights:</w:t>
      </w:r>
    </w:p>
    <w:p w:rsidR="00000000" w:rsidDel="00000000" w:rsidP="00000000" w:rsidRDefault="00000000" w:rsidRPr="00000000" w14:paraId="00000154">
      <w:pPr>
        <w:numPr>
          <w:ilvl w:val="0"/>
          <w:numId w:val="5"/>
        </w:numPr>
        <w:ind w:left="720" w:hanging="360"/>
        <w:rPr/>
      </w:pPr>
      <w:r w:rsidDel="00000000" w:rsidR="00000000" w:rsidRPr="00000000">
        <w:rPr>
          <w:rtl w:val="0"/>
        </w:rPr>
        <w:t xml:space="preserve">The Chunking Method introduces a major, actionable error (inappropriate D5W recommendation at initial resuscitation), which is flagged as a high-risk failure.</w:t>
      </w:r>
    </w:p>
    <w:p w:rsidR="00000000" w:rsidDel="00000000" w:rsidP="00000000" w:rsidRDefault="00000000" w:rsidRPr="00000000" w14:paraId="00000155">
      <w:pPr>
        <w:numPr>
          <w:ilvl w:val="0"/>
          <w:numId w:val="5"/>
        </w:numPr>
        <w:ind w:left="720" w:hanging="360"/>
        <w:rPr/>
      </w:pPr>
      <w:r w:rsidDel="00000000" w:rsidR="00000000" w:rsidRPr="00000000">
        <w:rPr>
          <w:rtl w:val="0"/>
        </w:rPr>
        <w:t xml:space="preserve">The Blockify Method, while less detailed in some respects because the IdeaBlocks are more targeted (e.g., omitting fluid composition specifics), avoids egregious clinical mistakes and maintains greater adherence to best-practice monitoring and diagnostic protocols.</w:t>
      </w:r>
    </w:p>
    <w:p w:rsidR="00000000" w:rsidDel="00000000" w:rsidP="00000000" w:rsidRDefault="00000000" w:rsidRPr="00000000" w14:paraId="00000156">
      <w:pPr>
        <w:pStyle w:val="Heading3"/>
        <w:rPr/>
      </w:pPr>
      <w:bookmarkStart w:colFirst="0" w:colLast="0" w:name="_heading=h.cxl9ijtvwypt" w:id="38"/>
      <w:bookmarkEnd w:id="38"/>
      <w:r w:rsidDel="00000000" w:rsidR="00000000" w:rsidRPr="00000000">
        <w:rPr>
          <w:rtl w:val="0"/>
        </w:rPr>
        <w:t xml:space="preserve">Recommendations for LLM Developers and Clinical Integrators:</w:t>
      </w:r>
    </w:p>
    <w:p w:rsidR="00000000" w:rsidDel="00000000" w:rsidP="00000000" w:rsidRDefault="00000000" w:rsidRPr="00000000" w14:paraId="00000157">
      <w:pPr>
        <w:numPr>
          <w:ilvl w:val="0"/>
          <w:numId w:val="27"/>
        </w:numPr>
        <w:ind w:left="720" w:hanging="360"/>
        <w:rPr/>
      </w:pPr>
      <w:r w:rsidDel="00000000" w:rsidR="00000000" w:rsidRPr="00000000">
        <w:rPr>
          <w:rtl w:val="0"/>
        </w:rPr>
        <w:t xml:space="preserve">Use reference methods like Blockify to maximize context fidelity and ensure outputs strictly adhere to clinical guidelines.</w:t>
      </w:r>
    </w:p>
    <w:p w:rsidR="00000000" w:rsidDel="00000000" w:rsidP="00000000" w:rsidRDefault="00000000" w:rsidRPr="00000000" w14:paraId="00000158">
      <w:pPr>
        <w:numPr>
          <w:ilvl w:val="0"/>
          <w:numId w:val="27"/>
        </w:numPr>
        <w:ind w:left="720" w:hanging="360"/>
        <w:rPr/>
      </w:pPr>
      <w:r w:rsidDel="00000000" w:rsidR="00000000" w:rsidRPr="00000000">
        <w:rPr>
          <w:rtl w:val="0"/>
        </w:rPr>
        <w:t xml:space="preserve">Supply Blockify with detailed, robust datasets to enhance content accuracy and fill information gaps.</w:t>
      </w:r>
    </w:p>
    <w:p w:rsidR="00000000" w:rsidDel="00000000" w:rsidP="00000000" w:rsidRDefault="00000000" w:rsidRPr="00000000" w14:paraId="00000159">
      <w:pPr>
        <w:numPr>
          <w:ilvl w:val="0"/>
          <w:numId w:val="27"/>
        </w:numPr>
        <w:ind w:left="720" w:hanging="360"/>
        <w:rPr/>
      </w:pPr>
      <w:r w:rsidDel="00000000" w:rsidR="00000000" w:rsidRPr="00000000">
        <w:rPr>
          <w:rtl w:val="0"/>
        </w:rPr>
        <w:t xml:space="preserve">Engage in rigorous clinical review of model outputs, especially for high-risk, protocol-dependent scenarios.</w:t>
      </w:r>
    </w:p>
    <w:p w:rsidR="00000000" w:rsidDel="00000000" w:rsidP="00000000" w:rsidRDefault="00000000" w:rsidRPr="00000000" w14:paraId="0000015A">
      <w:pPr>
        <w:numPr>
          <w:ilvl w:val="0"/>
          <w:numId w:val="27"/>
        </w:numPr>
        <w:ind w:left="720" w:hanging="360"/>
        <w:rPr/>
      </w:pPr>
      <w:r w:rsidDel="00000000" w:rsidR="00000000" w:rsidRPr="00000000">
        <w:rPr>
          <w:rtl w:val="0"/>
        </w:rPr>
        <w:t xml:space="preserve">Educate clinicians on the risks of relying on generative summaries that may not accurately reflect established protocols—even well-intentioned practitioners can be misled.</w:t>
      </w:r>
    </w:p>
    <w:p w:rsidR="00000000" w:rsidDel="00000000" w:rsidP="00000000" w:rsidRDefault="00000000" w:rsidRPr="00000000" w14:paraId="0000015B">
      <w:pPr>
        <w:ind w:left="0" w:firstLine="0"/>
        <w:rPr/>
      </w:pPr>
      <w:r w:rsidDel="00000000" w:rsidR="00000000" w:rsidRPr="00000000">
        <w:rPr>
          <w:rtl w:val="0"/>
        </w:rPr>
      </w:r>
    </w:p>
    <w:p w:rsidR="00000000" w:rsidDel="00000000" w:rsidP="00000000" w:rsidRDefault="00000000" w:rsidRPr="00000000" w14:paraId="0000015C">
      <w:pPr>
        <w:pStyle w:val="Heading2"/>
        <w:rPr/>
      </w:pPr>
      <w:bookmarkStart w:colFirst="0" w:colLast="0" w:name="_heading=h.gpanmia6diyc" w:id="39"/>
      <w:bookmarkEnd w:id="39"/>
      <w:r w:rsidDel="00000000" w:rsidR="00000000" w:rsidRPr="00000000">
        <w:rPr>
          <w:rtl w:val="0"/>
        </w:rPr>
        <w:t xml:space="preserve">Quantitative Results</w:t>
      </w:r>
    </w:p>
    <w:tbl>
      <w:tblPr>
        <w:tblStyle w:val="Table1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63.859060402684"/>
        <w:gridCol w:w="3396.140939597315"/>
        <w:tblGridChange w:id="0">
          <w:tblGrid>
            <w:gridCol w:w="5963.859060402684"/>
            <w:gridCol w:w="3396.140939597315"/>
          </w:tblGrid>
        </w:tblGridChange>
      </w:tblGrid>
      <w:tr>
        <w:trPr>
          <w:cantSplit w:val="0"/>
          <w:trHeight w:val="1055" w:hRule="atLeast"/>
          <w:tblHeader w:val="0"/>
        </w:trPr>
        <w:tc>
          <w:tcPr>
            <w:tcBorders>
              <w:top w:color="212121" w:space="0" w:sz="4" w:val="single"/>
              <w:left w:color="212121" w:space="0" w:sz="4" w:val="single"/>
              <w:bottom w:color="212121" w:space="0" w:sz="4" w:val="single"/>
              <w:right w:color="212121" w:space="0" w:sz="4" w:val="single"/>
            </w:tcBorders>
            <w:shd w:fill="1155cc" w:val="clear"/>
            <w:tcMar>
              <w:top w:w="100.0" w:type="dxa"/>
              <w:left w:w="100.0" w:type="dxa"/>
              <w:bottom w:w="100.0" w:type="dxa"/>
              <w:right w:w="100.0" w:type="dxa"/>
            </w:tcMar>
            <w:vAlign w:val="top"/>
          </w:tcPr>
          <w:p w:rsidR="00000000" w:rsidDel="00000000" w:rsidP="00000000" w:rsidRDefault="00000000" w:rsidRPr="00000000" w14:paraId="0000015D">
            <w:pPr>
              <w:spacing w:line="240" w:lineRule="auto"/>
              <w:rPr>
                <w:b w:val="1"/>
                <w:color w:val="ffffff"/>
              </w:rPr>
            </w:pPr>
            <w:r w:rsidDel="00000000" w:rsidR="00000000" w:rsidRPr="00000000">
              <w:rPr>
                <w:b w:val="1"/>
                <w:color w:val="ffffff"/>
                <w:rtl w:val="0"/>
              </w:rPr>
              <w:t xml:space="preserve">Query</w:t>
            </w:r>
          </w:p>
        </w:tc>
        <w:tc>
          <w:tcPr>
            <w:tcBorders>
              <w:top w:color="212121" w:space="0" w:sz="4" w:val="single"/>
              <w:left w:color="212121" w:space="0" w:sz="4" w:val="single"/>
              <w:bottom w:color="212121" w:space="0" w:sz="4" w:val="single"/>
              <w:right w:color="212121" w:space="0" w:sz="4" w:val="single"/>
            </w:tcBorders>
            <w:shd w:fill="1155cc" w:val="clear"/>
            <w:tcMar>
              <w:top w:w="100.0" w:type="dxa"/>
              <w:left w:w="100.0" w:type="dxa"/>
              <w:bottom w:w="100.0" w:type="dxa"/>
              <w:right w:w="100.0" w:type="dxa"/>
            </w:tcMar>
            <w:vAlign w:val="top"/>
          </w:tcPr>
          <w:p w:rsidR="00000000" w:rsidDel="00000000" w:rsidP="00000000" w:rsidRDefault="00000000" w:rsidRPr="00000000" w14:paraId="0000015E">
            <w:pPr>
              <w:spacing w:line="240" w:lineRule="auto"/>
              <w:rPr>
                <w:b w:val="1"/>
                <w:color w:val="ffffff"/>
              </w:rPr>
            </w:pPr>
            <w:r w:rsidDel="00000000" w:rsidR="00000000" w:rsidRPr="00000000">
              <w:rPr>
                <w:b w:val="1"/>
                <w:color w:val="ffffff"/>
                <w:rtl w:val="0"/>
              </w:rPr>
              <w:t xml:space="preserve">Improvement (%) Blockify vs. Chunking</w:t>
            </w:r>
          </w:p>
        </w:tc>
      </w:tr>
      <w:tr>
        <w:trPr>
          <w:cantSplit w:val="0"/>
          <w:trHeight w:val="695" w:hRule="atLeast"/>
          <w:tblHeader w:val="0"/>
        </w:trPr>
        <w:tc>
          <w:tcPr>
            <w:tcBorders>
              <w:top w:color="000000" w:space="0" w:sz="0" w:val="nil"/>
              <w:left w:color="212121" w:space="0" w:sz="4" w:val="single"/>
              <w:bottom w:color="212121"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F">
            <w:pPr>
              <w:spacing w:line="240" w:lineRule="auto"/>
              <w:rPr/>
            </w:pPr>
            <w:r w:rsidDel="00000000" w:rsidR="00000000" w:rsidRPr="00000000">
              <w:rPr>
                <w:rtl w:val="0"/>
              </w:rPr>
              <w:t xml:space="preserve">What are the diagnostic criteria for acute appendicitis?</w:t>
            </w:r>
          </w:p>
        </w:tc>
        <w:tc>
          <w:tcPr>
            <w:tcBorders>
              <w:top w:color="000000" w:space="0" w:sz="0" w:val="nil"/>
              <w:left w:color="212121" w:space="0" w:sz="4" w:val="single"/>
              <w:bottom w:color="212121" w:space="0" w:sz="4" w:val="single"/>
              <w:right w:color="212121"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60">
            <w:pPr>
              <w:spacing w:line="240" w:lineRule="auto"/>
              <w:rPr/>
            </w:pPr>
            <w:r w:rsidDel="00000000" w:rsidR="00000000" w:rsidRPr="00000000">
              <w:rPr>
                <w:rtl w:val="0"/>
              </w:rPr>
              <w:t xml:space="preserve">100.00%</w:t>
            </w:r>
          </w:p>
        </w:tc>
      </w:tr>
      <w:tr>
        <w:trPr>
          <w:cantSplit w:val="0"/>
          <w:trHeight w:val="695" w:hRule="atLeast"/>
          <w:tblHeader w:val="0"/>
        </w:trPr>
        <w:tc>
          <w:tcPr>
            <w:tcBorders>
              <w:top w:color="000000" w:space="0" w:sz="0" w:val="nil"/>
              <w:left w:color="212121" w:space="0" w:sz="4" w:val="single"/>
              <w:bottom w:color="212121"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1">
            <w:pPr>
              <w:spacing w:line="240" w:lineRule="auto"/>
              <w:rPr/>
            </w:pPr>
            <w:r w:rsidDel="00000000" w:rsidR="00000000" w:rsidRPr="00000000">
              <w:rPr>
                <w:rtl w:val="0"/>
              </w:rPr>
              <w:t xml:space="preserve">Identify red flag symptoms in a patient presenting with headache.</w:t>
            </w:r>
          </w:p>
        </w:tc>
        <w:tc>
          <w:tcPr>
            <w:tcBorders>
              <w:top w:color="000000" w:space="0" w:sz="0" w:val="nil"/>
              <w:left w:color="212121" w:space="0" w:sz="4" w:val="single"/>
              <w:bottom w:color="212121" w:space="0" w:sz="4" w:val="single"/>
              <w:right w:color="212121"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62">
            <w:pPr>
              <w:spacing w:line="240" w:lineRule="auto"/>
              <w:rPr/>
            </w:pPr>
            <w:r w:rsidDel="00000000" w:rsidR="00000000" w:rsidRPr="00000000">
              <w:rPr>
                <w:rtl w:val="0"/>
              </w:rPr>
              <w:t xml:space="preserve">250.00%</w:t>
            </w:r>
          </w:p>
        </w:tc>
      </w:tr>
      <w:tr>
        <w:trPr>
          <w:cantSplit w:val="0"/>
          <w:trHeight w:val="695" w:hRule="atLeast"/>
          <w:tblHeader w:val="0"/>
        </w:trPr>
        <w:tc>
          <w:tcPr>
            <w:tcBorders>
              <w:top w:color="000000" w:space="0" w:sz="0" w:val="nil"/>
              <w:left w:color="212121" w:space="0" w:sz="4" w:val="single"/>
              <w:bottom w:color="212121"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3">
            <w:pPr>
              <w:spacing w:line="240" w:lineRule="auto"/>
              <w:rPr/>
            </w:pPr>
            <w:r w:rsidDel="00000000" w:rsidR="00000000" w:rsidRPr="00000000">
              <w:rPr>
                <w:rtl w:val="0"/>
              </w:rPr>
              <w:t xml:space="preserve">Summarize the initial management of diabetic ketoacidosis</w:t>
            </w:r>
          </w:p>
        </w:tc>
        <w:tc>
          <w:tcPr>
            <w:tcBorders>
              <w:top w:color="000000" w:space="0" w:sz="0" w:val="nil"/>
              <w:left w:color="212121" w:space="0" w:sz="4" w:val="single"/>
              <w:bottom w:color="212121" w:space="0" w:sz="4" w:val="single"/>
              <w:right w:color="212121"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64">
            <w:pPr>
              <w:spacing w:line="240" w:lineRule="auto"/>
              <w:rPr/>
            </w:pPr>
            <w:r w:rsidDel="00000000" w:rsidR="00000000" w:rsidRPr="00000000">
              <w:rPr>
                <w:rtl w:val="0"/>
              </w:rPr>
              <w:t xml:space="preserve">650.00%</w:t>
            </w:r>
          </w:p>
        </w:tc>
      </w:tr>
      <w:tr>
        <w:trPr>
          <w:cantSplit w:val="0"/>
          <w:trHeight w:val="695" w:hRule="atLeast"/>
          <w:tblHeader w:val="0"/>
        </w:trPr>
        <w:tc>
          <w:tcPr>
            <w:tcBorders>
              <w:top w:color="000000" w:space="0" w:sz="0" w:val="nil"/>
              <w:left w:color="212121" w:space="0" w:sz="4" w:val="single"/>
              <w:bottom w:color="212121"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5">
            <w:pPr>
              <w:spacing w:line="240" w:lineRule="auto"/>
              <w:rPr/>
            </w:pPr>
            <w:r w:rsidDel="00000000" w:rsidR="00000000" w:rsidRPr="00000000">
              <w:rPr>
                <w:rtl w:val="0"/>
              </w:rPr>
              <w:t xml:space="preserve">Which laboratory tests are recommended for suspected pneumonia?</w:t>
            </w:r>
          </w:p>
        </w:tc>
        <w:tc>
          <w:tcPr>
            <w:tcBorders>
              <w:top w:color="000000" w:space="0" w:sz="0" w:val="nil"/>
              <w:left w:color="212121" w:space="0" w:sz="4" w:val="single"/>
              <w:bottom w:color="212121" w:space="0" w:sz="4" w:val="single"/>
              <w:right w:color="212121"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66">
            <w:pPr>
              <w:spacing w:line="240" w:lineRule="auto"/>
              <w:rPr/>
            </w:pPr>
            <w:r w:rsidDel="00000000" w:rsidR="00000000" w:rsidRPr="00000000">
              <w:rPr>
                <w:rtl w:val="0"/>
              </w:rPr>
              <w:t xml:space="preserve">500.00%</w:t>
            </w:r>
          </w:p>
        </w:tc>
      </w:tr>
      <w:tr>
        <w:trPr>
          <w:cantSplit w:val="0"/>
          <w:trHeight w:val="1055" w:hRule="atLeast"/>
          <w:tblHeader w:val="0"/>
        </w:trPr>
        <w:tc>
          <w:tcPr>
            <w:tcBorders>
              <w:top w:color="000000" w:space="0" w:sz="0" w:val="nil"/>
              <w:left w:color="212121" w:space="0" w:sz="4" w:val="single"/>
              <w:bottom w:color="212121"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7">
            <w:pPr>
              <w:spacing w:line="240" w:lineRule="auto"/>
              <w:rPr/>
            </w:pPr>
            <w:r w:rsidDel="00000000" w:rsidR="00000000" w:rsidRPr="00000000">
              <w:rPr>
                <w:rtl w:val="0"/>
              </w:rPr>
              <w:t xml:space="preserve">What is the standard adult dosing for oral amoxicillin in the treatment of otitis media?</w:t>
            </w:r>
          </w:p>
        </w:tc>
        <w:tc>
          <w:tcPr>
            <w:tcBorders>
              <w:top w:color="000000" w:space="0" w:sz="0" w:val="nil"/>
              <w:left w:color="212121" w:space="0" w:sz="4" w:val="single"/>
              <w:bottom w:color="212121" w:space="0" w:sz="4" w:val="single"/>
              <w:right w:color="212121"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68">
            <w:pPr>
              <w:spacing w:line="240" w:lineRule="auto"/>
              <w:rPr/>
            </w:pPr>
            <w:r w:rsidDel="00000000" w:rsidR="00000000" w:rsidRPr="00000000">
              <w:rPr>
                <w:rtl w:val="0"/>
              </w:rPr>
              <w:t xml:space="preserve">100.00%</w:t>
            </w:r>
          </w:p>
        </w:tc>
      </w:tr>
      <w:tr>
        <w:trPr>
          <w:cantSplit w:val="0"/>
          <w:trHeight w:val="695" w:hRule="atLeast"/>
          <w:tblHeader w:val="0"/>
        </w:trPr>
        <w:tc>
          <w:tcPr>
            <w:tcBorders>
              <w:top w:color="000000" w:space="0" w:sz="0" w:val="nil"/>
              <w:left w:color="212121" w:space="0" w:sz="4" w:val="single"/>
              <w:bottom w:color="212121"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9">
            <w:pPr>
              <w:spacing w:line="240" w:lineRule="auto"/>
              <w:rPr/>
            </w:pPr>
            <w:r w:rsidDel="00000000" w:rsidR="00000000" w:rsidRPr="00000000">
              <w:rPr>
                <w:rtl w:val="0"/>
              </w:rPr>
              <w:t xml:space="preserve">Which clinical features predict poor prognosis in heart failure?</w:t>
            </w:r>
          </w:p>
        </w:tc>
        <w:tc>
          <w:tcPr>
            <w:tcBorders>
              <w:top w:color="000000" w:space="0" w:sz="0" w:val="nil"/>
              <w:left w:color="212121" w:space="0" w:sz="4" w:val="single"/>
              <w:bottom w:color="212121" w:space="0" w:sz="4" w:val="single"/>
              <w:right w:color="212121"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6A">
            <w:pPr>
              <w:spacing w:line="240" w:lineRule="auto"/>
              <w:rPr/>
            </w:pPr>
            <w:r w:rsidDel="00000000" w:rsidR="00000000" w:rsidRPr="00000000">
              <w:rPr>
                <w:rtl w:val="0"/>
              </w:rPr>
              <w:t xml:space="preserve">250.00%</w:t>
            </w:r>
          </w:p>
        </w:tc>
      </w:tr>
      <w:tr>
        <w:trPr>
          <w:cantSplit w:val="0"/>
          <w:trHeight w:val="695" w:hRule="atLeast"/>
          <w:tblHeader w:val="0"/>
        </w:trPr>
        <w:tc>
          <w:tcPr>
            <w:tcBorders>
              <w:top w:color="000000" w:space="0" w:sz="0" w:val="nil"/>
              <w:left w:color="212121" w:space="0" w:sz="4" w:val="single"/>
              <w:bottom w:color="212121"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B">
            <w:pPr>
              <w:spacing w:line="240" w:lineRule="auto"/>
              <w:rPr/>
            </w:pPr>
            <w:r w:rsidDel="00000000" w:rsidR="00000000" w:rsidRPr="00000000">
              <w:rPr>
                <w:rtl w:val="0"/>
              </w:rPr>
              <w:t xml:space="preserve">List three possible complications of untreated deep vein thrombosis.</w:t>
            </w:r>
          </w:p>
        </w:tc>
        <w:tc>
          <w:tcPr>
            <w:tcBorders>
              <w:top w:color="000000" w:space="0" w:sz="0" w:val="nil"/>
              <w:left w:color="212121" w:space="0" w:sz="4" w:val="single"/>
              <w:bottom w:color="212121" w:space="0" w:sz="4" w:val="single"/>
              <w:right w:color="212121"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6C">
            <w:pPr>
              <w:spacing w:line="240" w:lineRule="auto"/>
              <w:rPr/>
            </w:pPr>
            <w:r w:rsidDel="00000000" w:rsidR="00000000" w:rsidRPr="00000000">
              <w:rPr>
                <w:rtl w:val="0"/>
              </w:rPr>
              <w:t xml:space="preserve">100.00%</w:t>
            </w:r>
          </w:p>
        </w:tc>
      </w:tr>
      <w:tr>
        <w:trPr>
          <w:cantSplit w:val="0"/>
          <w:trHeight w:val="1055" w:hRule="atLeast"/>
          <w:tblHeader w:val="0"/>
        </w:trPr>
        <w:tc>
          <w:tcPr>
            <w:tcBorders>
              <w:top w:color="000000" w:space="0" w:sz="0" w:val="nil"/>
              <w:left w:color="212121" w:space="0" w:sz="4" w:val="single"/>
              <w:bottom w:color="212121"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D">
            <w:pPr>
              <w:spacing w:line="240" w:lineRule="auto"/>
              <w:rPr/>
            </w:pPr>
            <w:r w:rsidDel="00000000" w:rsidR="00000000" w:rsidRPr="00000000">
              <w:rPr>
                <w:rtl w:val="0"/>
              </w:rPr>
              <w:t xml:space="preserve">What advice should be given to a patient discharged after a mild asthma attack?</w:t>
            </w:r>
          </w:p>
        </w:tc>
        <w:tc>
          <w:tcPr>
            <w:tcBorders>
              <w:top w:color="000000" w:space="0" w:sz="0" w:val="nil"/>
              <w:left w:color="212121" w:space="0" w:sz="4" w:val="single"/>
              <w:bottom w:color="212121" w:space="0" w:sz="4" w:val="single"/>
              <w:right w:color="212121"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6E">
            <w:pPr>
              <w:spacing w:line="240" w:lineRule="auto"/>
              <w:rPr/>
            </w:pPr>
            <w:r w:rsidDel="00000000" w:rsidR="00000000" w:rsidRPr="00000000">
              <w:rPr>
                <w:rtl w:val="0"/>
              </w:rPr>
              <w:t xml:space="preserve">100.00%</w:t>
            </w:r>
          </w:p>
        </w:tc>
      </w:tr>
      <w:tr>
        <w:trPr>
          <w:cantSplit w:val="0"/>
          <w:trHeight w:val="695" w:hRule="atLeast"/>
          <w:tblHeader w:val="0"/>
        </w:trPr>
        <w:tc>
          <w:tcPr>
            <w:tcBorders>
              <w:top w:color="000000" w:space="0" w:sz="0" w:val="nil"/>
              <w:left w:color="212121" w:space="0" w:sz="4" w:val="single"/>
              <w:bottom w:color="212121"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F">
            <w:pPr>
              <w:spacing w:line="240" w:lineRule="auto"/>
              <w:rPr/>
            </w:pPr>
            <w:r w:rsidDel="00000000" w:rsidR="00000000" w:rsidRPr="00000000">
              <w:rPr>
                <w:rtl w:val="0"/>
              </w:rPr>
              <w:t xml:space="preserve">How can you clinically rule out meningitis in a febrile child?</w:t>
            </w:r>
          </w:p>
        </w:tc>
        <w:tc>
          <w:tcPr>
            <w:tcBorders>
              <w:top w:color="000000" w:space="0" w:sz="0" w:val="nil"/>
              <w:left w:color="212121" w:space="0" w:sz="4" w:val="single"/>
              <w:bottom w:color="212121" w:space="0" w:sz="4" w:val="single"/>
              <w:right w:color="212121"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70">
            <w:pPr>
              <w:spacing w:line="240" w:lineRule="auto"/>
              <w:rPr/>
            </w:pPr>
            <w:r w:rsidDel="00000000" w:rsidR="00000000" w:rsidRPr="00000000">
              <w:rPr>
                <w:rtl w:val="0"/>
              </w:rPr>
              <w:t xml:space="preserve">300.00%</w:t>
            </w:r>
          </w:p>
        </w:tc>
      </w:tr>
    </w:tbl>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pStyle w:val="Heading2"/>
        <w:rPr/>
      </w:pPr>
      <w:bookmarkStart w:colFirst="0" w:colLast="0" w:name="_heading=h.pyu0j9r7v36a" w:id="40"/>
      <w:bookmarkEnd w:id="40"/>
      <w:r w:rsidDel="00000000" w:rsidR="00000000" w:rsidRPr="00000000">
        <w:rPr>
          <w:rtl w:val="0"/>
        </w:rPr>
      </w:r>
    </w:p>
    <w:tbl>
      <w:tblPr>
        <w:tblStyle w:val="Table1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63.859060402684"/>
        <w:gridCol w:w="3396.140939597315"/>
        <w:tblGridChange w:id="0">
          <w:tblGrid>
            <w:gridCol w:w="5963.859060402684"/>
            <w:gridCol w:w="3396.140939597315"/>
          </w:tblGrid>
        </w:tblGridChange>
      </w:tblGrid>
      <w:tr>
        <w:trPr>
          <w:cantSplit w:val="0"/>
          <w:trHeight w:val="695" w:hRule="atLeast"/>
          <w:tblHeader w:val="0"/>
        </w:trPr>
        <w:tc>
          <w:tcPr>
            <w:tcBorders>
              <w:top w:color="000000" w:space="0" w:sz="8" w:val="single"/>
              <w:left w:color="000000" w:space="0" w:sz="8" w:val="single"/>
              <w:bottom w:color="000000" w:space="0" w:sz="8" w:val="single"/>
              <w:right w:color="000000" w:space="0" w:sz="8" w:val="single"/>
            </w:tcBorders>
            <w:shd w:fill="93c47d" w:val="clear"/>
            <w:tcMar>
              <w:top w:w="100.0" w:type="dxa"/>
              <w:left w:w="100.0" w:type="dxa"/>
              <w:bottom w:w="100.0" w:type="dxa"/>
              <w:right w:w="100.0" w:type="dxa"/>
            </w:tcMar>
            <w:vAlign w:val="top"/>
          </w:tcPr>
          <w:p w:rsidR="00000000" w:rsidDel="00000000" w:rsidP="00000000" w:rsidRDefault="00000000" w:rsidRPr="00000000" w14:paraId="00000173">
            <w:pPr>
              <w:spacing w:line="240" w:lineRule="auto"/>
              <w:rPr>
                <w:b w:val="1"/>
              </w:rPr>
            </w:pPr>
            <w:r w:rsidDel="00000000" w:rsidR="00000000" w:rsidRPr="00000000">
              <w:rPr>
                <w:b w:val="1"/>
                <w:rtl w:val="0"/>
              </w:rPr>
              <w:t xml:space="preserve">Average Aggregate Improvement</w:t>
            </w:r>
          </w:p>
        </w:tc>
        <w:tc>
          <w:tcPr>
            <w:tcBorders>
              <w:top w:color="000000" w:space="0" w:sz="8" w:val="single"/>
              <w:left w:color="000000" w:space="0" w:sz="8" w:val="single"/>
              <w:bottom w:color="000000" w:space="0" w:sz="8" w:val="single"/>
              <w:right w:color="000000" w:space="0" w:sz="8" w:val="single"/>
            </w:tcBorders>
            <w:shd w:fill="93c47d" w:val="clear"/>
            <w:tcMar>
              <w:top w:w="100.0" w:type="dxa"/>
              <w:left w:w="100.0" w:type="dxa"/>
              <w:bottom w:w="100.0" w:type="dxa"/>
              <w:right w:w="100.0" w:type="dxa"/>
            </w:tcMar>
            <w:vAlign w:val="top"/>
          </w:tcPr>
          <w:p w:rsidR="00000000" w:rsidDel="00000000" w:rsidP="00000000" w:rsidRDefault="00000000" w:rsidRPr="00000000" w14:paraId="00000174">
            <w:pPr>
              <w:spacing w:line="240" w:lineRule="auto"/>
              <w:rPr>
                <w:b w:val="1"/>
              </w:rPr>
            </w:pPr>
            <w:r w:rsidDel="00000000" w:rsidR="00000000" w:rsidRPr="00000000">
              <w:rPr>
                <w:b w:val="1"/>
                <w:rtl w:val="0"/>
              </w:rPr>
              <w:t xml:space="preserve">261.11%</w:t>
            </w:r>
          </w:p>
        </w:tc>
      </w:tr>
    </w:tbl>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pStyle w:val="Heading3"/>
        <w:rPr/>
      </w:pPr>
      <w:bookmarkStart w:colFirst="0" w:colLast="0" w:name="_heading=h.dga7udvj0g7z" w:id="41"/>
      <w:bookmarkEnd w:id="41"/>
      <w:r w:rsidDel="00000000" w:rsidR="00000000" w:rsidRPr="00000000">
        <w:rPr>
          <w:rtl w:val="0"/>
        </w:rPr>
        <w:t xml:space="preserve">Observations:</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numPr>
          <w:ilvl w:val="0"/>
          <w:numId w:val="25"/>
        </w:numPr>
        <w:ind w:left="720" w:hanging="360"/>
        <w:rPr>
          <w:u w:val="none"/>
        </w:rPr>
      </w:pPr>
      <w:r w:rsidDel="00000000" w:rsidR="00000000" w:rsidRPr="00000000">
        <w:rPr>
          <w:rtl w:val="0"/>
        </w:rPr>
        <w:t xml:space="preserve">The greatest gains were observed in cases requiring highly structured, sequential information (DKA management), where basic chunking led to fragmented input and lower answer quality.</w:t>
      </w:r>
      <w:r w:rsidDel="00000000" w:rsidR="00000000" w:rsidRPr="00000000">
        <w:rPr>
          <w:rtl w:val="0"/>
        </w:rPr>
      </w:r>
    </w:p>
    <w:p w:rsidR="00000000" w:rsidDel="00000000" w:rsidP="00000000" w:rsidRDefault="00000000" w:rsidRPr="00000000" w14:paraId="00000179">
      <w:pPr>
        <w:numPr>
          <w:ilvl w:val="0"/>
          <w:numId w:val="25"/>
        </w:numPr>
        <w:ind w:left="720" w:hanging="360"/>
        <w:rPr>
          <w:u w:val="none"/>
        </w:rPr>
      </w:pPr>
      <w:r w:rsidDel="00000000" w:rsidR="00000000" w:rsidRPr="00000000">
        <w:rPr>
          <w:rtl w:val="0"/>
        </w:rPr>
        <w:t xml:space="preserve">Even for “list-style” fact queries (e.g., DVT complications), the Blockify Method prevented omission/blurring of key details.</w:t>
      </w:r>
      <w:r w:rsidDel="00000000" w:rsidR="00000000" w:rsidRPr="00000000">
        <w:rPr>
          <w:rtl w:val="0"/>
        </w:rPr>
      </w:r>
    </w:p>
    <w:p w:rsidR="00000000" w:rsidDel="00000000" w:rsidP="00000000" w:rsidRDefault="00000000" w:rsidRPr="00000000" w14:paraId="0000017A">
      <w:pPr>
        <w:numPr>
          <w:ilvl w:val="0"/>
          <w:numId w:val="25"/>
        </w:numPr>
        <w:ind w:left="720" w:hanging="360"/>
        <w:rPr>
          <w:u w:val="none"/>
        </w:rPr>
      </w:pPr>
      <w:r w:rsidDel="00000000" w:rsidR="00000000" w:rsidRPr="00000000">
        <w:rPr>
          <w:rtl w:val="0"/>
        </w:rPr>
        <w:t xml:space="preserve">In no cases did the Blockify Method score lower than the Chunking Method.</w:t>
      </w:r>
      <w:r w:rsidDel="00000000" w:rsidR="00000000" w:rsidRPr="00000000">
        <w:rPr>
          <w:rtl w:val="0"/>
        </w:rPr>
      </w:r>
    </w:p>
    <w:p w:rsidR="00000000" w:rsidDel="00000000" w:rsidP="00000000" w:rsidRDefault="00000000" w:rsidRPr="00000000" w14:paraId="0000017B">
      <w:pPr>
        <w:numPr>
          <w:ilvl w:val="0"/>
          <w:numId w:val="25"/>
        </w:numPr>
        <w:ind w:left="720" w:hanging="360"/>
        <w:rPr>
          <w:u w:val="none"/>
        </w:rPr>
      </w:pPr>
      <w:r w:rsidDel="00000000" w:rsidR="00000000" w:rsidRPr="00000000">
        <w:rPr>
          <w:rtl w:val="0"/>
        </w:rPr>
        <w:t xml:space="preserve">Consistency of improvement reaffirms the hypothesis that semantic contiguity in RAG retrieval is a powerful determinant of LLM output reliability.</w:t>
      </w: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pStyle w:val="Heading2"/>
        <w:rPr/>
      </w:pPr>
      <w:bookmarkStart w:colFirst="0" w:colLast="0" w:name="_heading=h.457jkjnr60p8" w:id="42"/>
      <w:bookmarkEnd w:id="42"/>
      <w:r w:rsidDel="00000000" w:rsidR="00000000" w:rsidRPr="00000000">
        <w:rPr>
          <w:rtl w:val="0"/>
        </w:rPr>
        <w:t xml:space="preserve">Conclusion</w:t>
      </w:r>
    </w:p>
    <w:p w:rsidR="00000000" w:rsidDel="00000000" w:rsidP="00000000" w:rsidRDefault="00000000" w:rsidRPr="00000000" w14:paraId="0000017E">
      <w:pPr>
        <w:rPr/>
      </w:pPr>
      <w:r w:rsidDel="00000000" w:rsidR="00000000" w:rsidRPr="00000000">
        <w:rPr>
          <w:rtl w:val="0"/>
        </w:rPr>
        <w:t xml:space="preserve">This whitepaper rigorously demonstrates that context-preserving segmentation via the Blockify Method is not merely an incremental improvement, but a critical advancement for achieving clinical-grade reliability in Retrieval-Augmented Generation (RAG) pipelines. </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Our direct, quantitative evaluation reveals that Blockify delivers an average of 261% greater accuracy and source fidelity over legacy chunking methods, with improvements as high as 650% for scenarios where patient safety is acutely at stake, such as diabetic ketoacidosis management. Across all queries, Blockify established a consistent pattern: mitigating risks of factual misalignment, avoiding protocol violations, and maximizing adherence to evidence-based guidance.</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The strategic imperative for healthcare is clear: simple, length-based chunking introduces unacceptable risks—fragmenting medical logic, blurring contextual relationships, and, as shown, at times actively promulgating dangerous recommendations. These pitfalls fundamentally undermine the trust required for AI systems to meaningfully support clinicians and enhance patient care.</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Blockify, by structuring knowledge into semantically intact, context-complete “IdeaBlocks,” enables LLMs to generate responses that are accurate, transparent, and closely aligned with standards of care. This advances not only factual correctness, but also the auditability, governance, and regulatory readiness essential to real-world deployment in high-stakes environments. </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The design ensures that each piece of advice or clinical insight can be confidently traced to its original, guideline-backed evidence—addressing key barriers to adoption and integration at the point of care.</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The lessons from this research extend beyond healthcare. Any industry deploying LLMs for mission-critical functions—finance, law, compliance, or safety monitoring—must recognize that the integrity and usefulness of generative AI are directly tied to the quality and granularity of information retrieval. Blockify offers a blueprint for elevating AI performance, safety, and trustworthiness wherever precision and source fidelity are non-negotiable.</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pStyle w:val="Heading3"/>
        <w:rPr/>
      </w:pPr>
      <w:bookmarkStart w:colFirst="0" w:colLast="0" w:name="_heading=h.og5607xcp63k" w:id="43"/>
      <w:bookmarkEnd w:id="43"/>
      <w:r w:rsidDel="00000000" w:rsidR="00000000" w:rsidRPr="00000000">
        <w:rPr>
          <w:rtl w:val="0"/>
        </w:rPr>
        <w:t xml:space="preserve">Recommendations for Stakeholders:</w:t>
      </w:r>
    </w:p>
    <w:p w:rsidR="00000000" w:rsidDel="00000000" w:rsidP="00000000" w:rsidRDefault="00000000" w:rsidRPr="00000000" w14:paraId="0000018B">
      <w:pPr>
        <w:numPr>
          <w:ilvl w:val="0"/>
          <w:numId w:val="28"/>
        </w:numPr>
        <w:ind w:left="720" w:hanging="360"/>
        <w:rPr>
          <w:u w:val="none"/>
        </w:rPr>
      </w:pPr>
      <w:r w:rsidDel="00000000" w:rsidR="00000000" w:rsidRPr="00000000">
        <w:rPr>
          <w:b w:val="1"/>
          <w:rtl w:val="0"/>
        </w:rPr>
        <w:t xml:space="preserve">Healthcare AI leaders, CIOs, and regulators:</w:t>
      </w:r>
      <w:r w:rsidDel="00000000" w:rsidR="00000000" w:rsidRPr="00000000">
        <w:rPr>
          <w:rtl w:val="0"/>
        </w:rPr>
        <w:t xml:space="preserve"> Treat advanced RAG segmentation as foundational infrastructure, not an optional enhancement. Prioritize testing and integrating Blockify-style ingestion in all clinical applications.</w:t>
      </w:r>
      <w:r w:rsidDel="00000000" w:rsidR="00000000" w:rsidRPr="00000000">
        <w:rPr>
          <w:rtl w:val="0"/>
        </w:rPr>
      </w:r>
    </w:p>
    <w:p w:rsidR="00000000" w:rsidDel="00000000" w:rsidP="00000000" w:rsidRDefault="00000000" w:rsidRPr="00000000" w14:paraId="0000018C">
      <w:pPr>
        <w:numPr>
          <w:ilvl w:val="0"/>
          <w:numId w:val="28"/>
        </w:numPr>
        <w:ind w:left="720" w:hanging="360"/>
        <w:rPr>
          <w:u w:val="none"/>
        </w:rPr>
      </w:pPr>
      <w:r w:rsidDel="00000000" w:rsidR="00000000" w:rsidRPr="00000000">
        <w:rPr>
          <w:b w:val="1"/>
          <w:rtl w:val="0"/>
        </w:rPr>
        <w:t xml:space="preserve">LLM developers and data scientists:</w:t>
      </w:r>
      <w:r w:rsidDel="00000000" w:rsidR="00000000" w:rsidRPr="00000000">
        <w:rPr>
          <w:rtl w:val="0"/>
        </w:rPr>
        <w:t xml:space="preserve"> Continuously benchmark chunking and block-based retrieval algorithms, incorporating clinical subject matter expertise to make segmentation strategies more robust and semantically aligned.</w:t>
      </w:r>
      <w:r w:rsidDel="00000000" w:rsidR="00000000" w:rsidRPr="00000000">
        <w:rPr>
          <w:rtl w:val="0"/>
        </w:rPr>
      </w:r>
    </w:p>
    <w:p w:rsidR="00000000" w:rsidDel="00000000" w:rsidP="00000000" w:rsidRDefault="00000000" w:rsidRPr="00000000" w14:paraId="0000018D">
      <w:pPr>
        <w:numPr>
          <w:ilvl w:val="0"/>
          <w:numId w:val="28"/>
        </w:numPr>
        <w:ind w:left="720" w:hanging="360"/>
        <w:rPr>
          <w:u w:val="none"/>
        </w:rPr>
      </w:pPr>
      <w:r w:rsidDel="00000000" w:rsidR="00000000" w:rsidRPr="00000000">
        <w:rPr>
          <w:b w:val="1"/>
          <w:rtl w:val="0"/>
        </w:rPr>
        <w:t xml:space="preserve">Quality and safety teams:</w:t>
      </w:r>
      <w:r w:rsidDel="00000000" w:rsidR="00000000" w:rsidRPr="00000000">
        <w:rPr>
          <w:rtl w:val="0"/>
        </w:rPr>
        <w:t xml:space="preserve"> Insist on transparent, auditable knowledge pathways for all LLM responses, and align system validation with real-world, high-stakes use cases.</w:t>
      </w:r>
      <w:r w:rsidDel="00000000" w:rsidR="00000000" w:rsidRPr="00000000">
        <w:rPr>
          <w:rtl w:val="0"/>
        </w:rPr>
      </w:r>
    </w:p>
    <w:p w:rsidR="00000000" w:rsidDel="00000000" w:rsidP="00000000" w:rsidRDefault="00000000" w:rsidRPr="00000000" w14:paraId="0000018E">
      <w:pPr>
        <w:numPr>
          <w:ilvl w:val="0"/>
          <w:numId w:val="28"/>
        </w:numPr>
        <w:ind w:left="720" w:hanging="360"/>
        <w:rPr>
          <w:u w:val="none"/>
        </w:rPr>
      </w:pPr>
      <w:r w:rsidDel="00000000" w:rsidR="00000000" w:rsidRPr="00000000">
        <w:rPr>
          <w:b w:val="1"/>
          <w:rtl w:val="0"/>
        </w:rPr>
        <w:t xml:space="preserve">Industry-wide standards bodies:</w:t>
      </w:r>
      <w:r w:rsidDel="00000000" w:rsidR="00000000" w:rsidRPr="00000000">
        <w:rPr>
          <w:rtl w:val="0"/>
        </w:rPr>
        <w:t xml:space="preserve"> Consider Blockify semantic segmentation, source traceability, and protocol fidelity as necessary best practices for generative AI in regulated environments.</w:t>
      </w:r>
      <w:r w:rsidDel="00000000" w:rsidR="00000000" w:rsidRPr="00000000">
        <w:rPr>
          <w:rtl w:val="0"/>
        </w:rPr>
      </w:r>
    </w:p>
    <w:p w:rsidR="00000000" w:rsidDel="00000000" w:rsidP="00000000" w:rsidRDefault="00000000" w:rsidRPr="00000000" w14:paraId="0000018F">
      <w:pPr>
        <w:pStyle w:val="Heading3"/>
        <w:rPr/>
      </w:pPr>
      <w:bookmarkStart w:colFirst="0" w:colLast="0" w:name="_heading=h.h7iwayj0g71q" w:id="44"/>
      <w:bookmarkEnd w:id="44"/>
      <w:r w:rsidDel="00000000" w:rsidR="00000000" w:rsidRPr="00000000">
        <w:rPr>
          <w:rtl w:val="0"/>
        </w:rPr>
        <w:t xml:space="preserve">Future Outlook:</w:t>
      </w:r>
    </w:p>
    <w:p w:rsidR="00000000" w:rsidDel="00000000" w:rsidP="00000000" w:rsidRDefault="00000000" w:rsidRPr="00000000" w14:paraId="00000190">
      <w:pPr>
        <w:rPr/>
      </w:pPr>
      <w:r w:rsidDel="00000000" w:rsidR="00000000" w:rsidRPr="00000000">
        <w:rPr>
          <w:rtl w:val="0"/>
        </w:rPr>
        <w:t xml:space="preserve">As LLMs grow in complexity and reach, the bar for safe, practical deployment will only increase. Blockify’s transparent, context-aware strategy provides a scalable foundation for AI decision support systems that clinicians—and, by extension, patients—can trust. </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The move from simple chunking toward Blockify should become the new standard for any organization seeking not just innovation, but safety, accountability, and enduring confidence in AI-driven solutions.</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The adoption of advanced, context-preserving RAG methodologies is no longer a forward-thinking option, but a present-day requirement for world-class, high-accuracy industry applications. </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Blockify stands as the reference architecture for the next generation of clinical and enterprise AI—raising the bar for what is possible, and what is safe, in machine-generated knowledge delivery.</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1"/>
      <w:sz w:val="32"/>
      <w:szCs w:val="32"/>
      <w:u w:val="single"/>
    </w:rPr>
  </w:style>
  <w:style w:type="paragraph" w:styleId="Heading3">
    <w:name w:val="heading 3"/>
    <w:basedOn w:val="Normal"/>
    <w:next w:val="Normal"/>
    <w:pPr>
      <w:keepNext w:val="1"/>
      <w:keepLines w:val="1"/>
      <w:spacing w:after="80" w:before="320" w:lineRule="auto"/>
    </w:pPr>
    <w:rPr>
      <w:color w:val="1155cc"/>
      <w:sz w:val="28"/>
      <w:szCs w:val="28"/>
    </w:rPr>
  </w:style>
  <w:style w:type="paragraph" w:styleId="Heading4">
    <w:name w:val="heading 4"/>
    <w:basedOn w:val="Normal"/>
    <w:next w:val="Normal"/>
    <w:pPr>
      <w:keepNext w:val="1"/>
      <w:keepLines w:val="1"/>
      <w:spacing w:after="80" w:before="280" w:lineRule="auto"/>
    </w:pPr>
    <w:rPr>
      <w:sz w:val="24"/>
      <w:szCs w:val="24"/>
      <w:u w:val="single"/>
    </w:rPr>
  </w:style>
  <w:style w:type="paragraph" w:styleId="Heading5">
    <w:name w:val="heading 5"/>
    <w:basedOn w:val="Normal"/>
    <w:next w:val="Normal"/>
    <w:pPr>
      <w:keepNext w:val="1"/>
      <w:keepLines w:val="1"/>
      <w:spacing w:after="80" w:before="240" w:lineRule="auto"/>
    </w:pPr>
    <w:rPr>
      <w:b w:val="1"/>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tcPr>
      <w:shd w:fill="212121" w:val="clear"/>
    </w:tc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tcPr>
      <w:shd w:fill="212121" w:val="clear"/>
    </w:tcPr>
  </w:style>
  <w:style w:type="table" w:styleId="Table12">
    <w:basedOn w:val="TableNormal"/>
    <w:tblPr>
      <w:tblStyleRowBandSize w:val="1"/>
      <w:tblStyleColBandSize w:val="1"/>
      <w:tblCellMar>
        <w:top w:w="100.0" w:type="dxa"/>
        <w:left w:w="100.0" w:type="dxa"/>
        <w:bottom w:w="100.0" w:type="dxa"/>
        <w:right w:w="100.0" w:type="dxa"/>
      </w:tblCellMar>
    </w:tblPr>
    <w:tcPr>
      <w:shd w:fill="212121" w:val="clear"/>
    </w:tc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15.0" w:type="dxa"/>
        <w:bottom w:w="0.0" w:type="dxa"/>
        <w:right w:w="115.0" w:type="dxa"/>
      </w:tblCellMar>
    </w:tblPr>
    <w:tcPr>
      <w:shd w:fill="212121" w:val="clear"/>
    </w:tc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0.0" w:type="dxa"/>
        <w:left w:w="115.0" w:type="dxa"/>
        <w:bottom w:w="0.0" w:type="dxa"/>
        <w:right w:w="115.0" w:type="dxa"/>
      </w:tblCellMar>
    </w:tblPr>
    <w:tcPr>
      <w:shd w:fill="212121" w:val="clear"/>
    </w:tcPr>
  </w:style>
  <w:style w:type="table" w:styleId="Table12">
    <w:basedOn w:val="TableNormal"/>
    <w:tblPr>
      <w:tblStyleRowBandSize w:val="1"/>
      <w:tblStyleColBandSize w:val="1"/>
      <w:tblCellMar>
        <w:top w:w="0.0" w:type="dxa"/>
        <w:left w:w="115.0" w:type="dxa"/>
        <w:bottom w:w="0.0" w:type="dxa"/>
        <w:right w:w="115.0" w:type="dxa"/>
      </w:tblCellMar>
    </w:tblPr>
    <w:tcPr>
      <w:shd w:fill="212121"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SLMaZHXrflmbnv38mi7zld94ow==">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